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HwO</w:t>
      </w:r>
    </w:p>
    <w:p>
      <w:r>
        <w:rPr>
          <w:color w:val="555555"/>
          <w:sz w:val="18"/>
        </w:rPr>
        <w:t xml:space="preserve">Handwerksordnung</w:t>
      </w:r>
    </w:p>
    <w:p>
      <w:r>
        <w:rPr>
          <w:color w:val="555555"/>
          <w:sz w:val="18"/>
        </w:rPr>
        <w:t xml:space="preserve">Stand: 10.06.2019 (konsolidierte Textfassung, kein amtliches Inkrafttretensdatum)</w:t>
      </w:r>
    </w:p>
    <w:p>
      <w:r>
        <w:t xml:space="preserve">(1) Auf den Landesinnungsverband finden entsprechende Anwendung:</w:t>
      </w:r>
    </w:p>
    <w:p>
      <w:pPr>
        <w:ind w:left="420"/>
      </w:pPr>
      <w:r>
        <w:t xml:space="preserve">1. § 55 Abs. 1 und Abs. 2 Nr. 1 bis 6, 8 bis 9 und hinsichtlich der Voraussetzungen für die Änderung der Satzung und für die Auflösung des Landesinnungsverbands Nummer 10 sowie Nummer 11,</w:t>
      </w:r>
    </w:p>
    <w:p>
      <w:pPr>
        <w:ind w:left="420"/>
      </w:pPr>
      <w:r>
        <w:t xml:space="preserve">2. §§ 60, 61 Abs. 1 und Abs. 2 Nr. 1 und hinsichtlich der Beschlußfassung über die Höhe der Beiträge zum Landesinnungsverband Nummer 2 sowie Nummern 3 bis 5 und 7 bis 8,</w:t>
      </w:r>
    </w:p>
    <w:p>
      <w:pPr>
        <w:ind w:left="420"/>
      </w:pPr>
      <w:r>
        <w:t xml:space="preserve">3. §§ 59, 62, 64, 66 und 74,</w:t>
      </w:r>
    </w:p>
    <w:p>
      <w:pPr>
        <w:ind w:left="420"/>
      </w:pPr>
      <w:r>
        <w:t xml:space="preserve">4. § 39 und §§ 41 bis 53 des Bürgerlichen Gesetzbuchs.</w:t>
      </w:r>
    </w:p>
    <w:p>
      <w:r>
        <w:t xml:space="preserve">(2) Die Mitgliederversammlung besteht aus den Vertretern der angeschlossenen Handwerksinnungen und im Falle des § 79 Abs. 3 auch aus den von den Einzelmitgliedern nach näherer Bestimmung der Satzung gewählten Vertretern. Die Satzung kann bestimmen, daß die Handwerksinnungen und die Gruppe der Einzelmitglieder entsprechend der Zahl der Mitglieder der Handwerksinnungen und der Einzelmitglieder mehrere Stimmen haben und die Stimmen einer Handwerksinnung oder der Gruppe der Einzelmitglieder uneinheitlich abgegeben werden können.</w:t>
      </w:r>
    </w:p>
    <w:p>
      <w:r>
        <w:t xml:space="preserve">(3) Nach näherer Bestimmung der Satzung können bis zur Hälfte der Mitglieder des Vorstands Personen sein, die nicht von der Mitgliederversammlung gewählt sind.</w:t>
      </w:r>
    </w:p>
    <w:p>
      <w:r>
        <w:rPr>
          <w:color w:val="555555"/>
          <w:sz w:val="17"/>
        </w:rPr>
        <w:t xml:space="preserve">Zitiervorschlag: § 83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