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Landesinnungsverband kann ferner die wirtschaftlichen und sozialen Interessen der den Handwerksinnungen angehörenden Mitglieder fördern. Zu diesem Zweck kann er insbesondere</w:t>
      </w:r>
    </w:p>
    <w:p>
      <w:pPr>
        <w:ind w:left="420"/>
      </w:pPr>
      <w:r>
        <w:t xml:space="preserve">1. Einrichtungen zur Erhöhung der Leistungsfähigkeit der Betriebe, vor allem in technischer und betriebswirtschaftlicher Hinsicht schaffen oder unterstützen,</w:t>
      </w:r>
    </w:p>
    <w:p>
      <w:pPr>
        <w:ind w:left="420"/>
      </w:pPr>
      <w:r>
        <w:t xml:space="preserve">2. den gemeinschaftlichen Einkauf und die gemeinschaftliche Übernahme von Lieferungen und Leistungen durch die Bildung von Genossenschaften, Arbeitsgemeinschaften oder auf sonstige Weise im Rahmen der allgemeinen Gesetze fördern,</w:t>
      </w:r>
    </w:p>
    <w:p>
      <w:pPr>
        <w:ind w:left="420"/>
      </w:pPr>
      <w:r>
        <w:t xml:space="preserve">3. Tarifverträge abschließen.</w:t>
      </w:r>
    </w:p>
    <w:p>
      <w:r>
        <w:rPr>
          <w:color w:val="555555"/>
          <w:sz w:val="17"/>
        </w:rPr>
        <w:t xml:space="preserve">Zitiervorschlag: § 82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