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Landesinnungsverband hat die Aufgabe,</w:t>
      </w:r>
    </w:p>
    <w:p>
      <w:pPr>
        <w:ind w:left="420"/>
      </w:pPr>
      <w:r>
        <w:t xml:space="preserve">1. die Interessen des Handwerks wahrzunehmen, für das er gebildet ist,</w:t>
      </w:r>
    </w:p>
    <w:p>
      <w:pPr>
        <w:ind w:left="420"/>
      </w:pPr>
      <w:r>
        <w:t xml:space="preserve">2. die angeschlossenen Handwerksinnungen in der Erfüllung ihrer gesetzlichen und satzungsmäßigen Aufgaben zu unterstützen,</w:t>
      </w:r>
    </w:p>
    <w:p>
      <w:pPr>
        <w:ind w:left="420"/>
      </w:pPr>
      <w:r>
        <w:t xml:space="preserve">3. den Behörden Anregungen und Vorschläge zu unterbreiten sowie ihnen auf Verlangen Gutachten zu erstatten.</w:t>
      </w:r>
    </w:p>
    <w:p>
      <w:r>
        <w:t xml:space="preserve">(2) Er ist befugt, Fachschulen und Fachkurse einzurichten oder zu fördern.</w:t>
      </w:r>
    </w:p>
    <w:p>
      <w:r>
        <w:rPr>
          <w:color w:val="555555"/>
          <w:sz w:val="17"/>
        </w:rPr>
        <w:t xml:space="preserve">Zitiervorschlag: § 81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