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HwO</w:t>
      </w:r>
    </w:p>
    <w:p>
      <w:r>
        <w:rPr>
          <w:color w:val="555555"/>
          <w:sz w:val="18"/>
        </w:rPr>
        <w:t xml:space="preserve">Handwerksordnung</w:t>
      </w:r>
    </w:p>
    <w:p>
      <w:r>
        <w:rPr>
          <w:color w:val="555555"/>
          <w:sz w:val="18"/>
        </w:rPr>
        <w:t xml:space="preserve">Stand: 10.06.2019 (konsolidierte Textfassung, kein amtliches Inkrafttretensdatum)</w:t>
      </w:r>
    </w:p>
    <w:p>
      <w:r>
        <w:t xml:space="preserve">(1) Wird die Handwerksinnung durch Beschluß der Innungsversammlung oder durch die Handwerkskammer aufgelöst, so wird das Innungsvermögen in entsprechender Anwendung der §§ 47 bis 53 des Bürgerlichen Gesetzbuchs liquidiert.</w:t>
      </w:r>
    </w:p>
    <w:p>
      <w:r>
        <w:t xml:space="preserve">(2) Wird eine Innung geteilt oder wird der Innungsbezirk neu abgegrenzt, so findet eine Vermögensauseinandersetzung statt, die der Genehmigung der für den Sitz der Innung zuständigen Handwerkskammer bedarf; kommt eine Einigung über die Vermögensauseinandersetzung nicht zustande, so entscheidet die für den Innungsbezirk zuständige Handwerkskammer. Erstreckt sich der Innungsbezirk auf mehrere Handwerkskammerbezirke, so kann die Genehmigung oder Entscheidung nur im Einvernehmen mit den beteiligten Handwerkskammern ergehen.</w:t>
      </w:r>
    </w:p>
    <w:p>
      <w:r>
        <w:rPr>
          <w:color w:val="555555"/>
          <w:sz w:val="17"/>
        </w:rPr>
        <w:t xml:space="preserve">Zitiervorschlag: § 78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