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Handwerksinnung kann durch die Handwerkskammer nach Anhörung des Landesinnungsverbands aufgelöst werden,</w:t>
      </w:r>
    </w:p>
    <w:p>
      <w:pPr>
        <w:ind w:left="420"/>
      </w:pPr>
      <w:r>
        <w:t xml:space="preserve">1. wenn sie durch einen gesetzwidrigen Beschluß der Mitgliederversammlung oder durch gesetzwidriges Verhalten des Vorstands das Gemeinwohl gefährdet,</w:t>
      </w:r>
    </w:p>
    <w:p>
      <w:pPr>
        <w:ind w:left="420"/>
      </w:pPr>
      <w:r>
        <w:t xml:space="preserve">2. wenn sie andere als die gesetzlich oder satzungsmäßig zulässigen Zwecke verfolgt,</w:t>
      </w:r>
    </w:p>
    <w:p>
      <w:pPr>
        <w:ind w:left="420"/>
      </w:pPr>
      <w:r>
        <w:t xml:space="preserve">3. wenn die Zahl ihrer Mitglieder so weit zurückgeht, daß die Erfüllung der gesetzlichen und satzungsmäßigen Aufgaben gefährdet erscheint.</w:t>
      </w:r>
    </w:p>
    <w:p>
      <w:r>
        <w:rPr>
          <w:color w:val="555555"/>
          <w:sz w:val="17"/>
        </w:rPr>
        <w:t xml:space="preserve">Zitiervorschlag: § 76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