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HwO</w:t>
      </w:r>
    </w:p>
    <w:p>
      <w:r>
        <w:rPr>
          <w:color w:val="555555"/>
          <w:sz w:val="18"/>
        </w:rPr>
        <w:t xml:space="preserve">Handwerksordnung</w:t>
      </w:r>
    </w:p>
    <w:p>
      <w:r>
        <w:rPr>
          <w:color w:val="555555"/>
          <w:sz w:val="18"/>
        </w:rPr>
        <w:t xml:space="preserve">Stand: 10.06.2019 (konsolidierte Textfassung, kein amtliches Inkrafttretensdatum)</w:t>
      </w:r>
    </w:p>
    <w:p>
      <w:r>
        <w:t xml:space="preserve">Die Handwerksinnung ist für den Schaden verantwortlich, den der Vorstand, ein Mitglied des Vorstands oder ein anderer satzungsmäßig berufener Vertreter durch eine in Ausführung der ihm zustehenden Verrichtungen begangene, zum Schadensersatz verpflichtende Handlung einem Dritten zufügt.</w:t>
      </w:r>
    </w:p>
    <w:p>
      <w:r>
        <w:rPr>
          <w:color w:val="555555"/>
          <w:sz w:val="17"/>
        </w:rPr>
        <w:t xml:space="preserve">Zitiervorschlag: § 74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