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der Handwerksinnung und ihrem Gesellenausschuß erwachsenden Kosten sind, soweit sie aus den Erträgen des Vermögens oder aus anderen Einnahmen keine Deckung finden, von den Innungsmitgliedern durch Beiträge aufzubringen. Zu den Kosten des Gesellenausschusses zählen auch die anteiligen Lohn- und Lohnnebenkosten, die dem Arbeitgeber durch die Freistellung der Mitglieder des Gesellenausschusses von ihrer beruflichen Tätigkeit entstehen. Diese Kosten sind dem Arbeitgeber auf Antrag von der Innung zu erstatten.</w:t>
      </w:r>
    </w:p>
    <w:p>
      <w:r>
        <w:t xml:space="preserve">(2) Die Handwerksinnung kann für die Benutzung der von ihr getroffenen Einrichtungen Gebühren erheben.</w:t>
      </w:r>
    </w:p>
    <w:p>
      <w:r>
        <w:t xml:space="preserve">(3) Soweit die Handwerksinnung ihre Beiträge nach dem Gewerbesteuermeßbetrag, Gewerbekapital, Gewerbeertrag, Gewinn aus Gewerbebetrieb oder der Lohnsumme bemißt, gilt § 113 Abs. 2 Satz 2, 3 und 8 bis 11.</w:t>
      </w:r>
    </w:p>
    <w:p>
      <w:r>
        <w:t xml:space="preserve">(4) Die Beiträge und Gebühren werden auf Antrag des Innungsvorstands nach den für die Beitreibung von Gemeindeabgaben geltenden landesrechtlichen Vorschriften beigetrieben.</w:t>
      </w:r>
    </w:p>
    <w:p>
      <w:r>
        <w:rPr>
          <w:color w:val="555555"/>
          <w:sz w:val="17"/>
        </w:rPr>
        <w:t xml:space="preserve">Zitiervorschlag: § 73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