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Wählbar ist jeder Geselle, der</w:t>
      </w:r>
    </w:p>
    <w:p>
      <w:pPr>
        <w:ind w:left="420"/>
      </w:pPr>
      <w:r>
        <w:t xml:space="preserve">1. volljährig ist,</w:t>
      </w:r>
    </w:p>
    <w:p>
      <w:pPr>
        <w:ind w:left="420"/>
      </w:pPr>
      <w:r>
        <w:t xml:space="preserve">2. eine Gesellenprüfung oder eine entsprechende Abschlußprüfung abgelegt hat und</w:t>
      </w:r>
    </w:p>
    <w:p>
      <w:pPr>
        <w:ind w:left="420"/>
      </w:pPr>
      <w:r>
        <w:t xml:space="preserve">3. seit mindestens drei Monaten in dem Betrieb eines der Handwerksinnung angehörenden selbständigen Handwerkers beschäftigt ist.</w:t>
      </w:r>
    </w:p>
    <w:p>
      <w:r>
        <w:t xml:space="preserve">(2) Über die Wahlhandlung ist eine Niederschrift anzufertigen.</w:t>
      </w:r>
    </w:p>
    <w:p>
      <w:r>
        <w:rPr>
          <w:color w:val="555555"/>
          <w:sz w:val="17"/>
        </w:rPr>
        <w:t xml:space="preserve">Zitiervorschlag: § 71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