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Interesse eines guten Verhältnisses zwischen den Innungsmitgliedern und den bei ihnen beschäftigten Gesellen (§ 54 Abs. 1 Nr. 2) wird bei der Handwerksinnung ein Gesellenausschuß errichtet. Der Gesellenausschuß hat die Gesellenmitglieder der Ausschüsse zu wählen, bei denen die Mitwirkung der Gesellen durch Gesetz oder Satzung vorgesehen ist.</w:t>
      </w:r>
    </w:p>
    <w:p>
      <w:r>
        <w:t xml:space="preserve">(2) Der Gesellenausschuß ist zu beteiligen</w:t>
      </w:r>
    </w:p>
    <w:p>
      <w:pPr>
        <w:ind w:left="420"/>
      </w:pPr>
      <w:r>
        <w:t xml:space="preserve">1. bei Erlaß von Vorschriften über die Regelung der Lehrlingsausbildung (§ 54 Abs. 1 Nr. 3),</w:t>
      </w:r>
    </w:p>
    <w:p>
      <w:pPr>
        <w:ind w:left="420"/>
      </w:pPr>
      <w:r>
        <w:t xml:space="preserve">2. bei Maßnahmen zur Förderung und Überwachung der beruflichen Ausbildung und zur Förderung der charakterlichen Entwicklung der Lehrlinge (§ 54 Abs. 1 Nr. 3),</w:t>
      </w:r>
    </w:p>
    <w:p>
      <w:pPr>
        <w:ind w:left="420"/>
      </w:pPr>
      <w:r>
        <w:t xml:space="preserve">3. bei der Errichtung der Gesellenprüfungsausschüsse (§ 54 Abs. 1 Nr. 4),</w:t>
      </w:r>
    </w:p>
    <w:p>
      <w:pPr>
        <w:ind w:left="420"/>
      </w:pPr>
      <w:r>
        <w:t xml:space="preserve">4. bei Maßnahmen zur Förderung des handwerklichen Könnens der Gesellen, insbesondere bei der Errichtung oder Unterstützung der zu dieser Förderung bestimmten Fachschulen und Lehrgänge (§ 54 Abs. 1 Nr. 5),</w:t>
      </w:r>
    </w:p>
    <w:p>
      <w:pPr>
        <w:ind w:left="420"/>
      </w:pPr>
      <w:r>
        <w:t xml:space="preserve">5. bei der Mitwirkung an der Verwaltung der Berufsschulen gemäß den Vorschriften der Unterrichtsverwaltungen (§ 54 Abs. 1 Nr. 6),</w:t>
      </w:r>
    </w:p>
    <w:p>
      <w:pPr>
        <w:ind w:left="420"/>
      </w:pPr>
      <w:r>
        <w:t xml:space="preserve">6. bei der Wahl oder Benennung der Vorsitzenden von Ausschüssen, bei denen die Mitwirkung der Gesellen durch Gesetz oder Satzung vorgesehen ist,</w:t>
      </w:r>
    </w:p>
    <w:p>
      <w:pPr>
        <w:ind w:left="420"/>
      </w:pPr>
      <w:r>
        <w:t xml:space="preserve">7. bei der Begründung und Verwaltung aller Einrichtungen, für welche die Gesellen Beiträge entrichten oder eine besondere Mühewaltung übernehmen, oder die zu ihrer Unterstützung bestimmt sind.</w:t>
      </w:r>
    </w:p>
    <w:p>
      <w:r>
        <w:t xml:space="preserve">(3) Die Beteiligung des Gesellenausschusses hat mit der Maßgabe zu erfolgen, daß</w:t>
      </w:r>
    </w:p>
    <w:p>
      <w:pPr>
        <w:ind w:left="420"/>
      </w:pPr>
      <w:r>
        <w:t xml:space="preserve">1. bei der Beratung und Beschlußfassung des Vorstands der Handwerksinnung mindestens ein Mitglied des Gesellenausschusses mit vollem Stimmrecht teilnimmt,</w:t>
      </w:r>
    </w:p>
    <w:p>
      <w:pPr>
        <w:ind w:left="420"/>
      </w:pPr>
      <w:r>
        <w:t xml:space="preserve">2. bei der Beratung und Beschlußfassung der Innungsversammlung seine sämtlichen Mitglieder mit vollem Stimmrecht teilnehmen,</w:t>
      </w:r>
    </w:p>
    <w:p>
      <w:pPr>
        <w:ind w:left="420"/>
      </w:pPr>
      <w:r>
        <w:t xml:space="preserve">3. bei der Verwaltung von Einrichtungen, für welche die Gesellen Aufwendungen zu machen haben, vom Gesellenausschuß gewählte Gesellen in gleicher Zahl zu beteiligen sind wie die Innungsmitglieder.</w:t>
      </w:r>
    </w:p>
    <w:p>
      <w:r>
        <w:t xml:space="preserve">(4) Zur Durchführung von Beschlüssen der Innungsversammlung in den in Absatz 2 bezeichneten Angelegenheiten bedarf es der Zustimmung des Gesellenausschusses. Wird die Zustimmung versagt oder nicht in angemessener Frist erteilt, so kann die Handwerksinnung die Entscheidung der Handwerkskammer binnen eines Monats beantragen.</w:t>
      </w:r>
    </w:p>
    <w:p>
      <w:r>
        <w:t xml:space="preserve">(5) Die Beteiligung des Gesellenausschusses entfällt in den Angelegenheiten, die Gegenstand eines von der Handwerksinnung oder von dem Innungsverband abgeschlossenen oder abzuschließenden Tarifvertrags sind.</w:t>
      </w:r>
    </w:p>
    <w:p>
      <w:r>
        <w:rPr>
          <w:color w:val="555555"/>
          <w:sz w:val="17"/>
        </w:rPr>
        <w:t xml:space="preserve">Zitiervorschlag: § 68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