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HwO</w:t>
      </w:r>
    </w:p>
    <w:p>
      <w:r>
        <w:rPr>
          <w:color w:val="555555"/>
          <w:sz w:val="18"/>
        </w:rPr>
        <w:t xml:space="preserve">Handwerksordnung</w:t>
      </w:r>
    </w:p>
    <w:p>
      <w:r>
        <w:rPr>
          <w:color w:val="555555"/>
          <w:sz w:val="18"/>
        </w:rPr>
        <w:t xml:space="preserve">Stand: 10.06.2019 (konsolidierte Textfassung, kein amtliches Inkrafttretensdatum)</w:t>
      </w:r>
    </w:p>
    <w:p>
      <w:r>
        <w:t xml:space="preserve">(1) Die Handwerksinnung kann zur Wahrnehmung einzelner Angelegenheiten Ausschüsse bilden.</w:t>
      </w:r>
    </w:p>
    <w:p>
      <w:r>
        <w:t xml:space="preserve">(2) Zur Förderung der Berufsbildung ist ein Ausschuß zu bilden. Er besteht aus einem Vorsitzenden und mindestens vier Beisitzern, von denen die Hälfte Innungsmitglieder, die in der Regel Gesellen oder Lehrlinge beschäftigen, und die andere Hälfte Gesellen sein müssen.</w:t>
      </w:r>
    </w:p>
    <w:p>
      <w:r>
        <w:t xml:space="preserve">(3) Die Handwerksinnung kann einen Ausschuß zur Schlichtung von Streitigkeiten zwischen Ausbildenden und Lehrlingen (Auszubildenden) errichten, der für alle Berufsausbildungsverhältnisse der in der Handwerksinnung vertretenen Handwerke ihres Bezirks zuständig ist. Die Handwerkskammer erläßt die hierfür erforderliche Verfahrensordnung.</w:t>
      </w:r>
    </w:p>
    <w:p>
      <w:r>
        <w:rPr>
          <w:color w:val="555555"/>
          <w:sz w:val="17"/>
        </w:rPr>
        <w:t xml:space="preserve">Zitiervorschlag: § 67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https://recht.nulegal.eu/gesetze/HwO/67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