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gemäß § 63 stimmberechtigtes Mitglied, das Inhaber eines Nebenbetriebs im Sinne des § 2 Nr. 2 oder 3 ist, kann sein Stimmrecht auf den Leiter des Nebenbetriebs übertragen, falls dieser die Pflichten übernimmt, die seinen Vollmachtgebern gegenüber der Handwerksinnung obliegen.</w:t>
      </w:r>
    </w:p>
    <w:p>
      <w:r>
        <w:t xml:space="preserve">(2) Die Satzung kann die Übertragung der in Absatz 1 bezeichneten Rechte unter den dort gesetzten Voraussetzungen auch in anderen Ausnahmefällen zulassen.</w:t>
      </w:r>
    </w:p>
    <w:p>
      <w:r>
        <w:t xml:space="preserve">(3) Die Übertragung und die Übernahme der Rechte bedarf der schriftlichen Erklärung gegenüber der Handwerksinnung.</w:t>
      </w:r>
    </w:p>
    <w:p>
      <w:r>
        <w:rPr>
          <w:color w:val="555555"/>
          <w:sz w:val="17"/>
        </w:rPr>
        <w:t xml:space="preserve">Zitiervorschlag: § 65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