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HwO</w:t>
      </w:r>
    </w:p>
    <w:p>
      <w:r>
        <w:rPr>
          <w:color w:val="555555"/>
          <w:sz w:val="18"/>
        </w:rPr>
        <w:t xml:space="preserve">Handwerksordnung</w:t>
      </w:r>
    </w:p>
    <w:p>
      <w:r>
        <w:rPr>
          <w:color w:val="555555"/>
          <w:sz w:val="18"/>
        </w:rPr>
        <w:t xml:space="preserve">Stand: 10.06.2019 (konsolidierte Textfassung, kein amtliches Inkrafttretensdatum)</w:t>
      </w:r>
    </w:p>
    <w:p>
      <w:r>
        <w:t xml:space="preserve">(1) Zur Gültigkeit eines Beschlusses der Innungsversammlung ist erforderlich, daß der Gegenstand bei ihrer Einberufung bezeichnet ist, es sei denn, daß er in der Innungsversammlung mit Zustimmung von drei Vierteln der erschienenen Mitglieder nachträglich auf die Tagesordnung gesetzt wird, sofern es sich nicht um einen Beschluß über eine Satzungsänderung oder Auflösung der Handwerksinnung handelt.</w:t>
      </w:r>
    </w:p>
    <w:p>
      <w:r>
        <w:t xml:space="preserve">(2) Beschlüsse der Innungsversammlung werden mit einfacher Mehrheit der erschienenen Mitglieder gefaßt. Zu Beschlüssen über Änderungen der Satzung der Handwerksinnung ist eine Mehrheit von drei Vierteln der erschienenen Mitglieder erforderlich. Der Beschluß auf Auflösung der Handwerksinnung kann nur mit einer Mehrheit von drei Vierteln der stimmberechtigten Mitglieder gefaßt werden. Sind in der ersten Innungsversammlung drei Viertel der Stimmberechtigten nicht erschienen, so ist binnen vier Wochen eine zweite Innungsversammlung einzuberufen, in welcher der Auflösungsbeschluß mit einer Mehrheit von drei Vierteln der erschienenen Mitglieder gefaßt werden kann. Satz 3 gilt für den Beschluß zur Bildung einer Vertreterversammlung (§ 61 Abs. 1 Satz 3) mit der Maßgabe, daß er auch im Wege schriftlicher Abstimmung gefaßt werden kann.</w:t>
      </w:r>
    </w:p>
    <w:p>
      <w:r>
        <w:t xml:space="preserve">(3) Die Innungsversammlung ist in den durch die Satzung bestimmten Fällen sowie dann einzuberufen, wenn das Interesse der Handwerksinnung es erfordert. Sie ist ferner einzuberufen, wenn der durch die Satzung bestimmte Teil oder in Ermangelung einer Bestimmung der zehnte Teil der Mitglieder die Einberufung schriftlich unter Angabe des Zwecks und der Gründe verlangt; wird dem Verlangen nicht entsprochen oder erfordert es das Interesse der Handwerksinnung, so kann die Handwerkskammer die Innungsversammlung einberufen und leiten.</w:t>
      </w:r>
    </w:p>
    <w:p>
      <w:r>
        <w:rPr>
          <w:color w:val="555555"/>
          <w:sz w:val="17"/>
        </w:rPr>
        <w:t xml:space="preserve">Zitiervorschlag: § 62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