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Innungsversammlung beschließt über alle Angelegenheiten der Handwerksinnung, soweit sie nicht vom Vorstand oder den Ausschüssen wahrzunehmen sind. Die Innungsversammlung besteht aus den Mitgliedern der Handwerksinnung. Die Satzung kann bestimmen, daß die Innungsversammlung aus Vertretern besteht, die von den Mitgliedern der Handwerksinnung aus ihrer Mitte gewählt werden (Vertreterversammlung); es kann auch bestimmt werden, daß nur einzelne Obliegenheiten der Innungsversammlung durch eine Vertreterversammlung wahrgenommen werden.</w:t>
      </w:r>
    </w:p>
    <w:p>
      <w:r>
        <w:t xml:space="preserve">(2) Der Innungsversammlung obliegt im besonderen</w:t>
      </w:r>
    </w:p>
    <w:p>
      <w:pPr>
        <w:ind w:left="420"/>
      </w:pPr>
      <w:r>
        <w:t xml:space="preserve">1. die Feststellung des Haushaltsplans und die Bewilligung von Ausgaben, die im Haushaltsplan nicht vorgesehen sind;</w:t>
      </w:r>
    </w:p>
    <w:p>
      <w:pPr>
        <w:ind w:left="420"/>
      </w:pPr>
      <w:r>
        <w:t xml:space="preserve">2. die Beschlußfassung über die Höhe der Innungsbeiträge und über die Festsetzung von Gebühren; Gebühren können auch von Nichtmitgliedern, die Tätigkeiten oder Einrichtungen der Innung in Anspruch nehmen, erhoben werden;</w:t>
      </w:r>
    </w:p>
    <w:p>
      <w:pPr>
        <w:ind w:left="420"/>
      </w:pPr>
      <w:r>
        <w:t xml:space="preserve">3. die Prüfung und Abnahme der Jahresrechnung;</w:t>
      </w:r>
    </w:p>
    <w:p>
      <w:pPr>
        <w:ind w:left="420"/>
      </w:pPr>
      <w:r>
        <w:t xml:space="preserve">4. die Wahl des Vorstands und derjenigen Mitglieder der Ausschüsse, die der Zahl der Innungsmitglieder zu entnehmen sind;</w:t>
      </w:r>
    </w:p>
    <w:p>
      <w:pPr>
        <w:ind w:left="420"/>
      </w:pPr>
      <w:r>
        <w:t xml:space="preserve">5. die Einsetzung besonderer Ausschüsse zur Vorbereitung einzelner Angelegenheiten;</w:t>
      </w:r>
    </w:p>
    <w:p>
      <w:pPr>
        <w:ind w:left="420"/>
      </w:pPr>
      <w:r>
        <w:t xml:space="preserve">6. der Erlaß von Vorschriften über die Lehrlingsausbildung (§ 54 Abs. 1 Nr. 3);</w:t>
      </w:r>
    </w:p>
    <w:p>
      <w:pPr>
        <w:ind w:left="420"/>
      </w:pPr>
      <w:r>
        <w:t xml:space="preserve">7. die Beschlußfassung über</w:t>
      </w:r>
    </w:p>
    <w:p>
      <w:pPr>
        <w:ind w:left="780"/>
      </w:pPr>
      <w:r>
        <w:t xml:space="preserve">a) den Erwerb, die Veräußerung oder die dingliche Belastung von Grundeigentum,</w:t>
      </w:r>
    </w:p>
    <w:p>
      <w:pPr>
        <w:ind w:left="780"/>
      </w:pPr>
      <w:r>
        <w:t xml:space="preserve">b) die Veräußerung von Gegenständen, die einen geschichtlichen, wissenschaftlichen oder Kunstwert haben,</w:t>
      </w:r>
    </w:p>
    <w:p>
      <w:pPr>
        <w:ind w:left="780"/>
      </w:pPr>
      <w:r>
        <w:t xml:space="preserve">c) die Ermächtigung zur Aufnahme von Krediten,</w:t>
      </w:r>
    </w:p>
    <w:p>
      <w:pPr>
        <w:ind w:left="780"/>
      </w:pPr>
      <w:r>
        <w:t xml:space="preserve">d) den Abschluß von Verträgen, durch welche der Handwerksinnung fortlaufende Verpflichtungen auferlegt werden, mit Ausnahme der laufenden Geschäfte der Verwaltung,</w:t>
      </w:r>
    </w:p>
    <w:p>
      <w:pPr>
        <w:ind w:left="780"/>
      </w:pPr>
      <w:r>
        <w:t xml:space="preserve">e) die Anlegung des Innungsvermögens;</w:t>
      </w:r>
    </w:p>
    <w:p>
      <w:pPr>
        <w:ind w:left="420"/>
      </w:pPr>
      <w:r>
        <w:t xml:space="preserve">8. die Beschlußfassung über die Änderung der Satzung und die Auflösung der Handwerksinnung;</w:t>
      </w:r>
    </w:p>
    <w:p>
      <w:pPr>
        <w:ind w:left="420"/>
      </w:pPr>
      <w:r>
        <w:t xml:space="preserve">9. die Beschlußfassung über den Erwerb und die Beendigung der Mitgliedschaft beim Landesinnungsverband.</w:t>
      </w:r>
    </w:p>
    <w:p>
      <w:r>
        <w:t xml:space="preserve">(3) Die nach Absatz 2 Nr. 6, 7 und 8 gefaßten Beschlüsse bedürfen der Genehmigung durch die Handwerkskammer.</w:t>
      </w:r>
    </w:p>
    <w:p>
      <w:r>
        <w:rPr>
          <w:color w:val="555555"/>
          <w:sz w:val="17"/>
        </w:rPr>
        <w:t xml:space="preserve">Zitiervorschlag: § 61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