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HwO</w:t>
      </w:r>
    </w:p>
    <w:p>
      <w:r>
        <w:rPr>
          <w:color w:val="555555"/>
          <w:sz w:val="18"/>
        </w:rPr>
        <w:t xml:space="preserve">Handwerksordnung</w:t>
      </w:r>
    </w:p>
    <w:p>
      <w:r>
        <w:rPr>
          <w:color w:val="555555"/>
          <w:sz w:val="18"/>
        </w:rPr>
        <w:t xml:space="preserve">Stand: 17.11.2022 (konsolidierte Textfassung, kein amtliches Inkrafttretensdatum)</w:t>
      </w:r>
    </w:p>
    <w:p>
      <w:r>
        <w:t xml:space="preserve">(1) Öffentliche Stellen, die in Verfahren auf Grund dieses Gesetzes zu beteiligen sind, werden über das Ergebnis unterrichtet, soweit dies zur Erfüllung ihrer Aufgaben erforderlich ist. Der Empfänger darf die übermittelten Daten nur für den Zweck verarbeiten, für dessen Erfüllung sie ihm übermittelt worden sind.</w:t>
      </w:r>
    </w:p>
    <w:p>
      <w:r>
        <w:t xml:space="preserve">(2) Handwerkskammern unterrichten sich, soweit dieses Gesetz keine besonderen Vorschriften enthält, gegenseitig, auch durch Übermittlung personenbezogener Daten, und durch Abruf im automatisierten Verfahren, soweit dies zur Feststellung erforderlich ist, ob der Betriebsleiter die Voraussetzungen für die Eintragung in die Handwerksrolle erfüllt und ob er seine Aufgaben ordnungsgemäß wahrnimmt. Das Bundesministerium für Wirtschaft und Klimaschutz wird ermächtigt, durch Rechtsverordnung mit Zustimmung des Bundesrates Einzelheiten eines Abrufs im automatisierten Verfahren zu regeln.</w:t>
      </w:r>
    </w:p>
    <w:p>
      <w:r>
        <w:rPr>
          <w:color w:val="555555"/>
          <w:sz w:val="17"/>
        </w:rPr>
        <w:t xml:space="preserve">Zitiervorschlag: § 5a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