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HwO</w:t>
      </w:r>
    </w:p>
    <w:p>
      <w:r>
        <w:rPr>
          <w:color w:val="555555"/>
          <w:sz w:val="18"/>
        </w:rPr>
        <w:t xml:space="preserve">Handwerksordnung</w:t>
      </w:r>
    </w:p>
    <w:p>
      <w:r>
        <w:rPr>
          <w:color w:val="555555"/>
          <w:sz w:val="18"/>
        </w:rPr>
        <w:t xml:space="preserve">Stand: 10.06.2019 (konsolidierte Textfassung, kein amtliches Inkrafttretensdatum)</w:t>
      </w:r>
    </w:p>
    <w:p>
      <w:r>
        <w:t xml:space="preserve">Die Handwerksinnung kann Gastmitglieder aufnehmen, die dem Handwerk, für das die Innung gebildet ist, beruflich oder wirtschaftlich nahestehen. Ihre Rechte und Pflichten sind in der Satzung zu regeln. An der Innungsversammlung nehmen sie mit beratender Stimme teil.</w:t>
      </w:r>
    </w:p>
    <w:p>
      <w:r>
        <w:rPr>
          <w:color w:val="555555"/>
          <w:sz w:val="17"/>
        </w:rPr>
        <w:t xml:space="preserve">Zitiervorschlag: § 59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