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57 HwO</w:t>
      </w:r>
    </w:p>
    <w:p>
      <w:r>
        <w:rPr>
          <w:color w:val="555555"/>
          <w:sz w:val="18"/>
        </w:rPr>
        <w:t xml:space="preserve">Handwerksordnung</w:t>
      </w:r>
    </w:p>
    <w:p>
      <w:r>
        <w:rPr>
          <w:color w:val="555555"/>
          <w:sz w:val="18"/>
        </w:rPr>
        <w:t xml:space="preserve">Stand: 10.06.2019 (konsolidierte Textfassung, kein amtliches Inkrafttretensdatum)</w:t>
      </w:r>
    </w:p>
    <w:p>
      <w:r>
        <w:t xml:space="preserve">(1) Soll in der Handwerksinnung eine Einrichtung der im § 54 Abs. 3 Nr. 2 vorgesehenen Art getroffen werden, so sind die dafür erforderlichen Bestimmungen in Nebensatzungen zusammenzufassen. Diese bedürfen der Genehmigung der Handwerkskammer des Bezirks, in dem die Handwerksinnung ihren Sitz hat.</w:t>
      </w:r>
    </w:p>
    <w:p>
      <w:r>
        <w:t xml:space="preserve">(2) Über die Einnahmen und Ausgaben solcher Einrichtungen ist getrennt Rechnung zu führen und das hierfür bestimmte Vermögen gesondert von dem Innungsvermögen zu verwalten. Das getrennt verwaltete Vermögen darf für andere Zwecke nicht verwandt werden. Die Gläubiger haben das Recht auf gesonderte Befriedigung aus diesem Vermögen.</w:t>
      </w:r>
    </w:p>
    <w:p>
      <w:r>
        <w:rPr>
          <w:color w:val="555555"/>
          <w:sz w:val="17"/>
        </w:rPr>
        <w:t xml:space="preserve">Zitiervorschlag: § 57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