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56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Satzung der Handwerksinnung bedarf der Genehmigung durch die Handwerkskammer des Bezirks, in dem die Handwerksinnung ihren Sitz nimmt.</w:t>
      </w:r>
    </w:p>
    <w:p>
      <w:r>
        <w:t xml:space="preserve">(2) Die Genehmigung ist zu versagen, wenn</w:t>
      </w:r>
    </w:p>
    <w:p>
      <w:pPr>
        <w:ind w:left="420"/>
      </w:pPr>
      <w:r>
        <w:t xml:space="preserve">1. die Satzung den gesetzlichen Vorschriften nicht entspricht,</w:t>
      </w:r>
    </w:p>
    <w:p>
      <w:pPr>
        <w:ind w:left="420"/>
      </w:pPr>
      <w:r>
        <w:t xml:space="preserve">2. die durch die Satzung vorgesehene Begrenzung des Innungsbezirks die nach § 52 Abs. 3 Satz 2 erforderliche Genehmigung nicht erhalten hat.</w:t>
      </w:r>
    </w:p>
    <w:p>
      <w:r>
        <w:rPr>
          <w:color w:val="555555"/>
          <w:sz w:val="17"/>
        </w:rPr>
        <w:t xml:space="preserve">Zitiervorschlag: § 56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https://recht.nulegal.eu/gesetze/HwO/56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