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Aufgaben der Handwerksinnung, ihre Verwaltung und die Rechtsverhältnisse ihrer Mitglieder sind, soweit gesetzlich nichts darüber bestimmt ist, durch die Satzung zu regeln.</w:t>
      </w:r>
    </w:p>
    <w:p>
      <w:r>
        <w:t xml:space="preserve">(2) Die Satzung muß Bestimmungen enthalten über</w:t>
      </w:r>
    </w:p>
    <w:p>
      <w:pPr>
        <w:ind w:left="420"/>
      </w:pPr>
      <w:r>
        <w:t xml:space="preserve">1. den Namen, den Sitz und den Bezirk der Handwerksinnung sowie die Handwerke, für welche die Handwerksinnung errichtet ist,</w:t>
      </w:r>
    </w:p>
    <w:p>
      <w:pPr>
        <w:ind w:left="420"/>
      </w:pPr>
      <w:r>
        <w:t xml:space="preserve">2. die Aufgaben der Handwerksinnung,</w:t>
      </w:r>
    </w:p>
    <w:p>
      <w:pPr>
        <w:ind w:left="420"/>
      </w:pPr>
      <w:r>
        <w:t xml:space="preserve">3. den Eintritt, den Austritt und den Ausschluß der Mitglieder,</w:t>
      </w:r>
    </w:p>
    <w:p>
      <w:pPr>
        <w:ind w:left="420"/>
      </w:pPr>
      <w:r>
        <w:t xml:space="preserve">4. die Rechte und Pflichten der Mitglieder sowie die Bemessungsgrundlage für die Erhebung der Mitgliedsbeiträge,</w:t>
      </w:r>
    </w:p>
    <w:p>
      <w:pPr>
        <w:ind w:left="420"/>
      </w:pPr>
      <w:r>
        <w:t xml:space="preserve">5. die Einberufung der Innungsversammlung, das Stimmrecht in ihr und die Art der Beschlußfassung,</w:t>
      </w:r>
    </w:p>
    <w:p>
      <w:pPr>
        <w:ind w:left="420"/>
      </w:pPr>
      <w:r>
        <w:t xml:space="preserve">6. die Bildung des Vorstands,</w:t>
      </w:r>
    </w:p>
    <w:p>
      <w:pPr>
        <w:ind w:left="420"/>
      </w:pPr>
      <w:r>
        <w:t xml:space="preserve">7. die Bildung des Gesellenausschusses,</w:t>
      </w:r>
    </w:p>
    <w:p>
      <w:pPr>
        <w:ind w:left="420"/>
      </w:pPr>
      <w:r>
        <w:t xml:space="preserve">8. die Beurkundung der Beschlüsse der Innungsversammlung und des Vorstands,</w:t>
      </w:r>
    </w:p>
    <w:p>
      <w:pPr>
        <w:ind w:left="420"/>
      </w:pPr>
      <w:r>
        <w:t xml:space="preserve">9. die Aufstellung des Haushaltsplans sowie die Aufstellung und Prüfung der Jahresrechnung,</w:t>
      </w:r>
    </w:p>
    <w:p>
      <w:pPr>
        <w:ind w:left="420"/>
      </w:pPr>
      <w:r>
        <w:t xml:space="preserve">10. die Voraussetzungen für die Änderung der Satzung und für die Auflösung der Handwerksinnung sowie den Erlaß und die Änderung der Nebensatzungen,</w:t>
      </w:r>
    </w:p>
    <w:p>
      <w:pPr>
        <w:ind w:left="420"/>
      </w:pPr>
      <w:r>
        <w:t xml:space="preserve">11. die Verwendung des bei der Auflösung der Handwerksinnung verbleibenden Vermögens.</w:t>
      </w:r>
    </w:p>
    <w:p>
      <w:r>
        <w:rPr>
          <w:color w:val="555555"/>
          <w:sz w:val="17"/>
        </w:rPr>
        <w:t xml:space="preserve">Zitiervorschlag: § 55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