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51g HwO</w:t>
      </w:r>
    </w:p>
    <w:p>
      <w:r>
        <w:rPr>
          <w:color w:val="555555"/>
          <w:sz w:val="18"/>
        </w:rPr>
        <w:t xml:space="preserve">Handwerksordnung</w:t>
      </w:r>
    </w:p>
    <w:p>
      <w:r>
        <w:rPr>
          <w:color w:val="555555"/>
          <w:sz w:val="18"/>
        </w:rPr>
        <w:t xml:space="preserve">Stand: 07.08.2021 (konsolidierte Textfassung, kein amtliches Inkrafttretensdatum)</w:t>
      </w:r>
    </w:p>
    <w:p>
      <w:r>
        <w:t xml:space="preserve">Im Fall der Gleichwertigkeit eines im Ausland erworbenen Ausbildungsnachweises mit der Meisterprüfung ist die Gleichwertigkeit festzustellen. § 50c gilt entsprechend.</w:t>
      </w:r>
    </w:p>
    <w:p>
      <w:r>
        <w:rPr>
          <w:color w:val="555555"/>
          <w:sz w:val="17"/>
        </w:rPr>
        <w:t xml:space="preserve">Zitiervorschlag: § 51g HwO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https://recht.nulegal.eu/gesetze/HwO/51g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