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51f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07.08.2021 (konsolidierte Textfassung, kein amtliches Inkrafttretensdatum)</w:t>
      </w:r>
    </w:p>
    <w:p>
      <w:r>
        <w:t xml:space="preserve">Die Ausbildungsbezeichnung Meister/Meisterin in Verbindung mit einem zulassungsfreien Handwerk oder handwerksähnlichen Gewerbe darf nur führen, wer die Prüfung nach § 51a Abs. 3 in diesem Handwerk oder Gewerbe bestanden hat. § 51 Absatz 2 ist entsprechend anzuwenden.</w:t>
      </w:r>
    </w:p>
    <w:p>
      <w:r>
        <w:rPr>
          <w:color w:val="555555"/>
          <w:sz w:val="17"/>
        </w:rPr>
        <w:t xml:space="preserve">Zitiervorschlag: § 51f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https://recht.nulegal.eu/gesetze/HwO/51f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