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51c HwO</w:t>
      </w:r>
    </w:p>
    <w:p>
      <w:r>
        <w:rPr>
          <w:color w:val="555555"/>
          <w:sz w:val="18"/>
        </w:rPr>
        <w:t xml:space="preserve">Handwerksordnung</w:t>
      </w:r>
    </w:p>
    <w:p>
      <w:r>
        <w:rPr>
          <w:color w:val="555555"/>
          <w:sz w:val="18"/>
        </w:rPr>
        <w:t xml:space="preserve">Stand: 07.08.2021 (konsolidierte Textfassung, kein amtliches Inkrafttretensdatum)</w:t>
      </w:r>
    </w:p>
    <w:p>
      <w:r>
        <w:t xml:space="preserve">(1) Die Abnahme und die abschließende Bewertung der einzelnen Prüfungsleistungen einer Meisterprüfung obliegen Prüfungskommissionen. Die Prüfungskommissionen werden von dem Meisterprüfungsausschuss gebildet.</w:t>
      </w:r>
    </w:p>
    <w:p>
      <w:r>
        <w:t xml:space="preserve">(2) Für den Einsatz in den Prüfungskommissionen beruft der Meisterprüfungsausschuss für die Dauer von jeweils längstens fünf Jahren prüfende Personen. Die Handwerkskammer hat hierfür eine Liste mit nicht bindenden Vorschlägen zu erstellen; § 47 Absatz 2 Satz 2 und 3 gilt entsprechend.</w:t>
      </w:r>
    </w:p>
    <w:p>
      <w:r>
        <w:t xml:space="preserve">(3) Jede prüfende Person muss die Voraussetzungen für eine Ernennung zum Mitglied des Meisterprüfungsausschusses erfüllen. § 34 Absatz 6 Satz 1, Absatz 9 und 9a gilt für sie entsprechend. Die Mitglieder des Meisterprüfungsausschusses und ihre Stellvertreter können zu prüfenden Personen berufen werden.</w:t>
      </w:r>
    </w:p>
    <w:p>
      <w:r>
        <w:rPr>
          <w:color w:val="555555"/>
          <w:sz w:val="17"/>
        </w:rPr>
        <w:t xml:space="preserve">Zitiervorschlag: § 51c HwO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https://recht.nulegal.eu/gesetze/HwO/51c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