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07.08.2021 (konsolidierte Textfassung, kein amtliches Inkrafttretensdatum)</w:t>
      </w:r>
    </w:p>
    <w:p>
      <w:r>
        <w:t xml:space="preserve">Die durch die Durchführung der Meisterprüfung entstehenden Kosten trägt die Handwerkskammer.</w:t>
      </w:r>
    </w:p>
    <w:p>
      <w:r>
        <w:rPr>
          <w:color w:val="555555"/>
          <w:sz w:val="17"/>
        </w:rPr>
        <w:t xml:space="preserve">Zitiervorschlag: § 50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