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HwO</w:t>
      </w:r>
    </w:p>
    <w:p>
      <w:r>
        <w:rPr>
          <w:color w:val="555555"/>
          <w:sz w:val="18"/>
        </w:rPr>
        <w:t xml:space="preserve">Handwerksordnung</w:t>
      </w:r>
    </w:p>
    <w:p>
      <w:r>
        <w:rPr>
          <w:color w:val="555555"/>
          <w:sz w:val="18"/>
        </w:rPr>
        <w:t xml:space="preserve">Stand: 07.08.2021 (konsolidierte Textfassung, kein amtliches Inkrafttretensdatum)</w:t>
      </w:r>
    </w:p>
    <w:p>
      <w:r>
        <w:t xml:space="preserve">(1) Für die Handwerke werden zur Durchführung der Meisterprüfungen Meisterprüfungsausschüsse als staatliche Prüfungsbehörden am Sitz der Handwerkskammer für ihren Bezirk errichtet. Die oberste Landesbehörde kann in besonderen Fällen die Errichtung eines Meisterprüfungsausschusses für mehrere Handwerkskammerbezirke anordnen und mit der Errichtung die für den Sitz des Meisterprüfungsausschusses zuständige höhere Verwaltungsbehörde beauftragen. Soll der Meisterprüfungsausschuß für Handwerkskammerbezirke mehrerer Länder zuständig sein, so bedarf es hierfür des Einvernehmens der beteiligten obersten Landesbehörden. Die Landesregierungen werden ermächtigt, durch Rechtsverordnung zu bestimmen, daß abweichend von Satz 2 an Stelle der obersten Landesbehörde die höhere Verwaltungsbehörde zuständig ist. Die Landesregierungen können diese Ermächtigung auf oberste Landesbehörden übertragen.</w:t>
      </w:r>
    </w:p>
    <w:p>
      <w:r>
        <w:t xml:space="preserve">(2) Die höhere Verwaltungsbehörde errichtet die Meisterprüfungsausschüsse nach Anhörung der Handwerkskammer und ernennt auf Grund ihrer Vorschläge die Mitglieder und die Stellvertreter für längstens fünf Jahre. Über Vorschläge für Mitglieder nach § 48 Absatz 4 und deren Stellvertreter befindet in der Handwerkskammer die Mehrheit der Gesellenvertreter der Vollversammlung; die Gesellenvertreter sollen Vorschläge der im Bezirk der Handwerkskammer bestehenden Gewerkschaften und selbständigen Vereinigungen von Arbeitnehmern mit sozial- oder berufspolitischer Zwecksetzung berücksichtigen. Die Handwerkskammer hat die in Satz 2 genannten Gesellenvertreter und Organisationen zu unterrichten</w:t>
      </w:r>
    </w:p>
    <w:p>
      <w:pPr>
        <w:ind w:left="420"/>
      </w:pPr>
      <w:r>
        <w:t xml:space="preserve">1. über die Errichtung von Meisterprüfungsausschüssen am Sitz der Handwerkskammer,</w:t>
      </w:r>
    </w:p>
    <w:p>
      <w:pPr>
        <w:ind w:left="420"/>
      </w:pPr>
      <w:r>
        <w:t xml:space="preserve">2. über die Zahl der von den Gesellenvertretern vorzuschlagenden Mitglieder und Stellvertreter für die Meisterprüfungsausschüsse und</w:t>
      </w:r>
    </w:p>
    <w:p>
      <w:pPr>
        <w:ind w:left="420"/>
      </w:pPr>
      <w:r>
        <w:t xml:space="preserve">3. über Personen, die auf Vorschlag der Gesellenvertreter zu Mitgliedern und Stellvertretern der Meisterprüfungsausschüsse berufen sind.</w:t>
      </w:r>
    </w:p>
    <w:p>
      <w:r>
        <w:t xml:space="preserve">(3) Die Handwerkskammer unterstützt die Meisterprüfungsausschüsse durch das Führen der laufenden Geschäfte.</w:t>
      </w:r>
    </w:p>
    <w:p>
      <w:r>
        <w:rPr>
          <w:color w:val="555555"/>
          <w:sz w:val="17"/>
        </w:rPr>
        <w:t xml:space="preserve">Zitiervorschlag: § 47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