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HwO</w:t>
      </w:r>
    </w:p>
    <w:p>
      <w:r>
        <w:rPr>
          <w:color w:val="555555"/>
          <w:sz w:val="18"/>
        </w:rPr>
        <w:t xml:space="preserve">Handwerksordnung</w:t>
      </w:r>
    </w:p>
    <w:p>
      <w:r>
        <w:rPr>
          <w:color w:val="555555"/>
          <w:sz w:val="18"/>
        </w:rPr>
        <w:t xml:space="preserve">Stand: 11.09.2021 (konsolidierte Textfassung, kein amtliches Inkrafttretensdatum)</w:t>
      </w:r>
    </w:p>
    <w:p>
      <w:r>
        <w:t xml:space="preserve">(1) Die Handwerkskammer errichtet einen Berufsbildungsausschuß. Ihm gehören sechs Arbeitgeber, sechs Arbeitnehmer und sechs Lehrkräfte an berufsbildenden Schulen an, die Lehrkräfte mit beratender Stimme.</w:t>
      </w:r>
    </w:p>
    <w:p>
      <w:r>
        <w:t xml:space="preserve">(2) Die Vertreter der Arbeitgeber werden von der Gruppe der Arbeitgeber, die Vertreter der Arbeitnehmer von der Gruppe der Vertreter der Gesellen und der anderen Arbeitnehmer mit einer abgeschlossenen Berufsausbildung in der Vollversammlung gewählt. Die Lehrkräfte an berufsbildenden Schulen werden von der nach Landesrecht zuständigen Behörde als Mitglieder berufen. Die Amtszeit der Mitglieder beträgt längstens fünf Jahre.</w:t>
      </w:r>
    </w:p>
    <w:p>
      <w:r>
        <w:t xml:space="preserve">(3) § 34 Absatz 9 gilt entsprechend.</w:t>
      </w:r>
    </w:p>
    <w:p>
      <w:r>
        <w:t xml:space="preserve">(4) Die Mitglieder können nach Anhören der an ihrer Berufung Beteiligten aus wichtigem Grund abberufen werden.</w:t>
      </w:r>
    </w:p>
    <w:p>
      <w:r>
        <w:t xml:space="preserve">(5) Die Mitglieder haben Stellvertreter, die bei Verhinderung der Mitglieder an deren Stelle treten. Die Absätze 1 bis 4 gelten für die Stellvertreter entsprechend.</w:t>
      </w:r>
    </w:p>
    <w:p>
      <w:r>
        <w:t xml:space="preserve">(6) Der Berufsbildungsausschuß wählt aus seiner Mitte einen Vorsitzenden und dessen Stellvertreter. Der Vorsitzende und sein Stellvertreter sollen nicht derselben Mitgliedergruppe angehören.</w:t>
      </w:r>
    </w:p>
    <w:p>
      <w:r>
        <w:rPr>
          <w:color w:val="555555"/>
          <w:sz w:val="17"/>
        </w:rPr>
        <w:t xml:space="preserve">Zitiervorschlag: § 43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