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42v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nach Landesrecht zuständige Behörde hat die Berufsausbildungsvorbereitung zu untersagen, wenn die Voraussetzungen des § 42t Absatz 1 nicht vorliegen.</w:t>
      </w:r>
    </w:p>
    <w:p>
      <w:r>
        <w:t xml:space="preserve">(2) Der Anbieter hat die Durchführung von Maßnahmen der Berufsausbildungsvorbereitung vor Beginn der Maßnahme der Handwerkskammer schriftlich oder elektronisch anzuzeigen. Die Anzeigepflicht erstreckt sich auf den wesentlichen Inhalt des Qualifizierungsvertrages.</w:t>
      </w:r>
    </w:p>
    <w:p>
      <w:r>
        <w:t xml:space="preserve">(3) Die Absätze 1 und 2 sowie § 41a finden keine Anwendung, soweit die Berufsausbildungsvorbereitung im Rahmen des Dritten Buches Sozialgesetzbuch oder anderer vergleichbarer, öffentlich geförderter Maßnahmen durchgeführt wird.</w:t>
      </w:r>
    </w:p>
    <w:p>
      <w:r>
        <w:rPr>
          <w:color w:val="555555"/>
          <w:sz w:val="17"/>
        </w:rPr>
        <w:t xml:space="preserve">Zitiervorschlag: § 42v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https://recht.nulegal.eu/gesetze/HwO/42v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