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42u HwO</w:t>
      </w:r>
    </w:p>
    <w:p>
      <w:r>
        <w:rPr>
          <w:color w:val="555555"/>
          <w:sz w:val="18"/>
        </w:rPr>
        <w:t xml:space="preserve">Handwerksordnung</w:t>
      </w:r>
    </w:p>
    <w:p>
      <w:r>
        <w:rPr>
          <w:color w:val="555555"/>
          <w:sz w:val="18"/>
        </w:rPr>
        <w:t xml:space="preserve">Stand: 17.11.2022 (konsolidierte Textfassung, kein amtliches Inkrafttretensdatum)</w:t>
      </w:r>
    </w:p>
    <w:p>
      <w:r>
        <w:t xml:space="preserve">(1) Die Vermittlung von Grundlagen für den Erwerb beruflicher Handlungsfähigkeit (§ 1 Abs. 2 des Berufsbildungsgesetzes) kann insbesondere durch inhaltlich und zeitlich abgegrenzte Lerneinheiten erfolgen, die aus den Inhalten anerkannter Ausbildungsberufe (Gewerbe der Anlage A oder der Anlage B) entwickelt werden (Qualifizierungsbausteine).</w:t>
      </w:r>
    </w:p>
    <w:p>
      <w:r>
        <w:t xml:space="preserve">(2) Über vermittelte Grundlagen für den Erwerb beruflicher Handlungsfähigkeit stellt der Anbieter der Berufsausbildungsvorbereitung eine Bescheinigung aus. Das Nähere regelt das Bundesministerium für Bildung und Forschung im Einvernehmen mit dem Bundesministerium für Wirtschaft und Klimaschutz nach Anhörung des Hauptausschusses des Bundesinstituts für Berufsbildung durch Rechtsverordnung, die nicht der Zustimmung des Bundesrates bedarf.</w:t>
      </w:r>
    </w:p>
    <w:p>
      <w:r>
        <w:rPr>
          <w:color w:val="555555"/>
          <w:sz w:val="17"/>
        </w:rPr>
        <w:t xml:space="preserve">Zitiervorschlag: § 42u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https://recht.nulegal.eu/gesetze/HwO/42u</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