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42t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Berufsausbildungsvorbereitung richtet sich an lernbeeinträchtigte oder sozial benachteiligte Personen, deren Entwicklungsstand eine erfolgreiche Ausbildung in einem anerkannten Ausbildungsberuf (Gewerbe der Anlage A oder der Anlage B) noch nicht erwarten lässt. Sie muss nach Inhalt, Art, Ziel und Dauer den besonderen Erfordernissen des in Satz 1 genannten Personenkreises entsprechen und durch umfassende sozialpädagogische Betreuung und Unterstützung begleitet werden.</w:t>
      </w:r>
    </w:p>
    <w:p>
      <w:r>
        <w:t xml:space="preserve">(2) Für die Berufsausbildungsvorbereitung, die nicht im Rahmen des Dritten Buches Sozialgesetzbuch oder anderer vergleichbarer, öffentlich geförderter Maßnahmen durchgeführt wird, gelten die §§ 21 bis 24 entsprechend.</w:t>
      </w:r>
    </w:p>
    <w:p>
      <w:r>
        <w:rPr>
          <w:color w:val="555555"/>
          <w:sz w:val="17"/>
        </w:rPr>
        <w:t xml:space="preserve">Zitiervorschlag: § 42t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https://recht.nulegal.eu/gesetze/HwO/42t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