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42n HwO</w:t>
      </w:r>
    </w:p>
    <w:p>
      <w:r>
        <w:rPr>
          <w:color w:val="555555"/>
          <w:sz w:val="18"/>
        </w:rPr>
        <w:t xml:space="preserve">Handwerksordnung</w:t>
      </w:r>
    </w:p>
    <w:p>
      <w:r>
        <w:rPr>
          <w:color w:val="555555"/>
          <w:sz w:val="18"/>
        </w:rPr>
        <w:t xml:space="preserve">Stand: 01.08.2024 (konsolidierte Textfassung, kein amtliches Inkrafttretensdatum)</w:t>
      </w:r>
    </w:p>
    <w:p>
      <w:r>
        <w:t xml:space="preserve">(1) Maßnahmen der beruflichen Umschulung müssen nach Inhalt, Art, Ziel und Dauer den besonderen Erfordernissen der beruflichen Erwachsenenbildung entsprechen.</w:t>
      </w:r>
    </w:p>
    <w:p>
      <w:r>
        <w:t xml:space="preserve">(2) Der Umschulende hat die Durchführung der beruflichen Umschulung unverzüglich vor Beginn der Maßnahme der Handwerkskammer schriftlich oder elektronisch anzuzeigen. Die Anzeigepflicht erstreckt sich auf den wesentlichen Inhalt des Umschulungsverhältnisses. Bei Abschluss eines Umschulungsvertrages ist eine Kopie des Umschulungsvertrages beizufügen.</w:t>
      </w:r>
    </w:p>
    <w:p>
      <w:r>
        <w:t xml:space="preserve">(3) Für die Durchführung von Prüfungen im Bereich der beruflichen Umschulung errichtet die Handwerkskammer Prüfungsausschüsse. § 31 Abs. 2 und 3 sowie § 33 Absatz 3 und die §§ 34 bis 35b, 37a und 38 gelten entsprechend.</w:t>
      </w:r>
    </w:p>
    <w:p>
      <w:r>
        <w:t xml:space="preserve">(4) Der Prüfling ist auf Antrag von der Ablegung einzelner Prüfungsbestandteile durch die Handwerkskammer zu befreien, wenn er eine andere vergleichbare Prüfung vor einer öffentlichen oder staatlich anerkannten Bildungseinrichtung oder vor einem staatlichen Prüfungsausschuss erfolgreich abgelegt hat und die Anmeldung zur Umschulungsprüfung innerhalb von zehn Jahren nach der Bekanntgabe des Bestehens der anderen Prüfung erfolgt.</w:t>
      </w:r>
    </w:p>
    <w:p>
      <w:r>
        <w:rPr>
          <w:color w:val="555555"/>
          <w:sz w:val="17"/>
        </w:rPr>
        <w:t xml:space="preserve">Zitiervorschlag: § 42n HwO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https://recht.nulegal.eu/gesetze/HwO/42n</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