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42k HwO</w:t>
      </w:r>
    </w:p>
    <w:p>
      <w:r>
        <w:rPr>
          <w:color w:val="555555"/>
          <w:sz w:val="18"/>
        </w:rPr>
        <w:t xml:space="preserve">Handwerksordnung</w:t>
      </w:r>
    </w:p>
    <w:p>
      <w:r>
        <w:rPr>
          <w:color w:val="555555"/>
          <w:sz w:val="18"/>
        </w:rPr>
        <w:t xml:space="preserve">Stand: 10.01.2020 (konsolidierte Textfassung, kein amtliches Inkrafttretensdatum)</w:t>
      </w:r>
    </w:p>
    <w:p>
      <w:r>
        <w:t xml:space="preserve">Soweit Rechtsverordnungen nach § 42j nicht erlassen sind, kann die Handwerkskammer Umschulungsprüfungsregelungen erlassen. Die Handwerkskammer regelt die Bezeichnung des Umschulungsabschlusses, Ziel, Inhalt und Anforderungen der Prüfungen, ihre Zulassungsvoraussetzungen sowie das Prüfungsverfahren unter Berücksichtigung der besonderen Erfordernisse beruflicher Erwachsenenbildung.</w:t>
      </w:r>
    </w:p>
    <w:p>
      <w:r>
        <w:rPr>
          <w:color w:val="555555"/>
          <w:sz w:val="17"/>
        </w:rPr>
        <w:t xml:space="preserve">Zitiervorschlag: § 42k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https://recht.nulegal.eu/gesetze/HwO/42k</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