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42h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(1) Für die Durchführung von Prüfungen im Bereich der beruflichen Fortbildung errichtet die Handwerkskammer Prüfungsausschüsse. § 31 Absatz 2 Satz 1 und Absatz 3 Satz 1 sowie § 33 Absatz 1 Satz 2, Absatz 3 und 4 und die §§ 34 bis 35a Absatz 1 bis 5 sowie die §§ 35b, 37a und 38 sind entsprechend anzuwenden.</w:t>
      </w:r>
    </w:p>
    <w:p>
      <w:r>
        <w:t xml:space="preserve">(2) Der Prüfling ist auf Antrag von der Ablegung einzelner Prüfungsbestandteile durch die Handwerkskammer zu befreien, wenn</w:t>
      </w:r>
    </w:p>
    <w:p>
      <w:pPr>
        <w:ind w:left="420"/>
      </w:pPr>
      <w:r>
        <w:t xml:space="preserve">1. er eine andere vergleichbare Prüfung vor einer öffentlichen oder einer staatlich anerkannten Bildungseinrichtung oder vor einem staatlichen Prüfungsausschuss erfolgreich abgelegt hat und</w:t>
      </w:r>
    </w:p>
    <w:p>
      <w:pPr>
        <w:ind w:left="420"/>
      </w:pPr>
      <w:r>
        <w:t xml:space="preserve">2. die Anmeldung zur Fortbildungsprüfung innerhalb von zehn Jahren nach der Bekanntgabe des Bestehens der Prüfung erfolgt.</w:t>
      </w:r>
    </w:p>
    <w:p>
      <w:r>
        <w:rPr>
          <w:color w:val="555555"/>
          <w:sz w:val="17"/>
        </w:rPr>
        <w:t xml:space="preserve">Zitiervorschlag: § 42h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https://recht.nulegal.eu/gesetze/HwO/42h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