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42g HwO</w:t>
      </w:r>
    </w:p>
    <w:p>
      <w:r>
        <w:rPr>
          <w:color w:val="555555"/>
          <w:sz w:val="18"/>
        </w:rPr>
        <w:t xml:space="preserve">Handwerksordnung</w:t>
      </w:r>
    </w:p>
    <w:p>
      <w:r>
        <w:rPr>
          <w:color w:val="555555"/>
          <w:sz w:val="18"/>
        </w:rPr>
        <w:t xml:space="preserve">Stand: 10.01.2020 (konsolidierte Textfassung, kein amtliches Inkrafttretensdatum)</w:t>
      </w:r>
    </w:p>
    <w:p>
      <w:r>
        <w:t xml:space="preserve">Sofern Fortbildungsordnungen, Anpassungsfortbildungsordnungen oder Fortbildungsprüfungsregelungen nach § 42f Zulassungsvoraussetzungen zu Prüfungen vorsehen, sind ausländische Bildungsabschlüsse und Zeiten der Berufstätigkeit im Ausland zu berücksichtigen.</w:t>
      </w:r>
    </w:p>
    <w:p>
      <w:r>
        <w:rPr>
          <w:color w:val="555555"/>
          <w:sz w:val="17"/>
        </w:rPr>
        <w:t xml:space="preserve">Zitiervorschlag: § 42g HwO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https://recht.nulegal.eu/gesetze/HwO/42g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