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42c HwO</w:t>
      </w:r>
    </w:p>
    <w:p>
      <w:r>
        <w:rPr>
          <w:color w:val="555555"/>
          <w:sz w:val="18"/>
        </w:rPr>
        <w:t xml:space="preserve">Handwerksordnung</w:t>
      </w:r>
    </w:p>
    <w:p>
      <w:r>
        <w:rPr>
          <w:color w:val="555555"/>
          <w:sz w:val="18"/>
        </w:rPr>
        <w:t xml:space="preserve">Stand: 01.08.2024 (konsolidierte Textfassung, kein amtliches Inkrafttretensdatum)</w:t>
      </w:r>
    </w:p>
    <w:p>
      <w:r>
        <w:t xml:space="preserve">(1) Den Fortbildungsabschluss Bachelor Professional erlangt, wer eine Prüfung der zweiten beruflichen Fortbildungsstufe erfolgreich besteht.</w:t>
      </w:r>
    </w:p>
    <w:p>
      <w:r>
        <w:t xml:space="preserve">(2) In der Fortbildungsprüfung der zweiten beruflichen Fortbildungsstufe wird festgestellt, ob der Prüfling in der Lage ist, Fach- und Führungsfunktionen zu übernehmen, in denen zu verantwortende Leitungsprozesse von Organisationen eigenständig gesteuert werden, eigenständig ausgeführt werden und dafür Mitarbeiter und Mitarbeiterinnen geführt werden. Der Lernumfang für den Erwerb dieser Fertigkeiten, Kenntnisse und Fähigkeiten soll mindestens 1 200 Stunden betragen.</w:t>
      </w:r>
    </w:p>
    <w:p>
      <w:r>
        <w:t xml:space="preserve">(3) Als Voraussetzung zur Zulassung für eine Prüfung der zweiten beruflichen Fortbildungsstufe ist als Regelzugang vorzusehen:</w:t>
      </w:r>
    </w:p>
    <w:p>
      <w:pPr>
        <w:ind w:left="420"/>
      </w:pPr>
      <w:r>
        <w:t xml:space="preserve">1. der Abschluss in einem anerkannten Ausbildungsberuf,</w:t>
      </w:r>
    </w:p>
    <w:p>
      <w:pPr>
        <w:ind w:left="420"/>
      </w:pPr>
      <w:r>
        <w:t xml:space="preserve">2. das Zeugnis der vollständigen Vergleichbarkeit der individuellen beruflichen Handlungsfähigkeit mit der für die Ausübung eines Ausbildungsberufs erforderlichen beruflichen Handlungsfähigkeit nach § 1 Absatz 6 des Berufsbildungsgesetzes oder</w:t>
      </w:r>
    </w:p>
    <w:p>
      <w:pPr>
        <w:ind w:left="420"/>
      </w:pPr>
      <w:r>
        <w:t xml:space="preserve">3. ein Abschluss der ersten beruflichen Fortbildungsstufe.</w:t>
      </w:r>
    </w:p>
    <w:p>
      <w:r>
        <w:t xml:space="preserve">(4) Die Bezeichnung eines Fortbildungsabschlusses der zweiten beruflichen Fortbildungsstufe beginnt mit den Wörtern „Bachelor Professional in“. Die Fortbildungsordnung kann vorsehen, dass dieser Abschlussbezeichnung eine weitere Abschlussbezeichnung vorangestellt wird. Die Abschlussbezeichnung der zweiten beruflichen Fortbildungsstufe darf nur führen, wer</w:t>
      </w:r>
    </w:p>
    <w:p>
      <w:pPr>
        <w:ind w:left="420"/>
      </w:pPr>
      <w:r>
        <w:t xml:space="preserve">1. die Prüfung der zweiten beruflichen Fortbildungsstufe bestanden hat oder</w:t>
      </w:r>
    </w:p>
    <w:p>
      <w:pPr>
        <w:ind w:left="420"/>
      </w:pPr>
      <w:r>
        <w:t xml:space="preserve">2. die Prüfung einer gleichwertigen beruflichen Fortbildung auf der Grundlage bundes- oder landesrechtlicher Regelungen, die diese Abschlussbezeichnung vorsehen, bestanden hat.</w:t>
      </w:r>
    </w:p>
    <w:p>
      <w:r>
        <w:t xml:space="preserve">Die §§ 51 und 51d bleiben unberührt.</w:t>
      </w:r>
    </w:p>
    <w:p>
      <w:r>
        <w:rPr>
          <w:color w:val="555555"/>
          <w:sz w:val="17"/>
        </w:rPr>
        <w:t xml:space="preserve">Zitiervorschlag: § 42c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