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41d HwO</w:t>
      </w:r>
    </w:p>
    <w:p>
      <w:r>
        <w:rPr>
          <w:color w:val="555555"/>
          <w:sz w:val="18"/>
        </w:rPr>
        <w:t xml:space="preserve">Handwerksordnung</w:t>
      </w:r>
    </w:p>
    <w:p>
      <w:r>
        <w:rPr>
          <w:color w:val="555555"/>
          <w:sz w:val="18"/>
        </w:rPr>
        <w:t xml:space="preserve">Stand: 01.08.2024 (konsolidierte Textfassung, kein amtliches Inkrafttretensdatum)</w:t>
      </w:r>
    </w:p>
    <w:p>
      <w:r>
        <w:t xml:space="preserve">(1) Für Menschen mit Behinderungen nach § 2 Absatz 1 Satz 1 des Neunten Buches Sozialgesetzbuch, für die auf Grund von Art und Schwere der Behinderung die Feststellung der überwiegenden oder vollständigen, für die Ausübung des Referenzberufs erforderlichen beruflichen Handlungsfähigkeit nicht möglich ist, sind die §§ 41b und 41c mit der Maßgabe anzuwenden, dass</w:t>
      </w:r>
    </w:p>
    <w:p>
      <w:pPr>
        <w:ind w:left="420"/>
      </w:pPr>
      <w:r>
        <w:t xml:space="preserve">1. eine individuelle berufliche Handlungsfähigkeit am Maßstab eines Referenzberufs auch dann festgestellt und bescheinigt wird, wenn diese nicht überwiegend oder vollständig, sondern nur teilweise vergleichbar ist mit der für die Ausübung des Referenzberufs erforderlichen beruflichen Handlungsfähigkeit; in diesen Fällen weist der Bescheid eine teilweise Vergleichbarkeit aus; § 41c Absatz 3 Satz 1 gilt entsprechend,</w:t>
      </w:r>
    </w:p>
    <w:p>
      <w:pPr>
        <w:ind w:left="420"/>
      </w:pPr>
      <w:r>
        <w:t xml:space="preserve">2. bei einem Antrag, der sich auf die Feststellung der teilweisen Vergleichbarkeit richtet,</w:t>
      </w:r>
    </w:p>
    <w:p>
      <w:pPr>
        <w:ind w:left="780"/>
      </w:pPr>
      <w:r>
        <w:t xml:space="preserve">a) für § 41b Absatz 3 Satz 1 Nummer 1 eine Tätigkeit im Tätigkeitsbereich des Referenzberufs genügt, die die im Antrag bezeichneten, für die Ausübung des Referenzberufs erforderlichen Fertigkeiten, Kenntnisse und Fähigkeiten umfasst,</w:t>
      </w:r>
    </w:p>
    <w:p>
      <w:pPr>
        <w:ind w:left="780"/>
      </w:pPr>
      <w:r>
        <w:t xml:space="preserve">b) für § 41b Absatz 3 Satz 1 Nummer 2 sich die Glaubhaftmachung auf die im Antrag bezeichneten, für die Ausübung des Referenzberufs erforderlichen Fertigkeiten, Kenntnisse und Fähigkeiten beschränkt,</w:t>
      </w:r>
    </w:p>
    <w:p>
      <w:pPr>
        <w:ind w:left="780"/>
      </w:pPr>
      <w:r>
        <w:t xml:space="preserve">c) der Bescheid nach § 41c Absatz 3 auf Antrag zusätzlich zur Vergleichbarkeit mit dem Referenzberuf auch eine überwiegende oder vollständige Vergleichbarkeit mit einer Referenzausbildungsregelung nach § 42r ausweist, sofern sich die Ausbildungsregelung am gewählten Referenzberuf orientiert und entsprechend einer berufsspezifischen Musterregelung des Hauptausschusses des Bundesinstituts für Berufsbildung getroffen wurde,</w:t>
      </w:r>
    </w:p>
    <w:p>
      <w:pPr>
        <w:ind w:left="420"/>
      </w:pPr>
      <w:r>
        <w:t xml:space="preserve">3. abweichend von § 41b Absatz 2 Nummer 4 antragsberechtigt auch ist, wer das 25. Lebensjahr noch nicht vollendet hat.</w:t>
      </w:r>
    </w:p>
    <w:p>
      <w:r>
        <w:t xml:space="preserve">(2) Im Fall der teilweisen Vergleichbarkeit müssen die festgestellten, für die Ausübung des Referenzberufs erforderlichen Fertigkeiten, Kenntnisse und Fähigkeiten zusammen dem Referenzberuf eindeutig zugeordnet werden können und eine berufliche Tätigkeit im Tätigkeitsbereich des Referenzberufs ermöglichen.</w:t>
      </w:r>
    </w:p>
    <w:p>
      <w:r>
        <w:t xml:space="preserve">(3) Menschen mit Behinderungen können in ihrem Antrag eine Person als Verfahrensbegleitung benennen, die besonders mit den Belangen von Menschen mit Behinderungen im Rahmen der beruflichen Qualifizierung vertraut ist. Dies sind insbesondere solche Ausbilder, die die Rehabilitationspädagogische Zusatzqualifikation erworben haben. Auf Antrag des Antragstellers oder der Antragstellerin ist der Verfahrensbegleitung Gelegenheit zu geben,</w:t>
      </w:r>
    </w:p>
    <w:p>
      <w:pPr>
        <w:ind w:left="420"/>
      </w:pPr>
      <w:r>
        <w:t xml:space="preserve">1. zur Auswahl der Feststellungsinstrumente Stellung zu nehmen und</w:t>
      </w:r>
    </w:p>
    <w:p>
      <w:pPr>
        <w:ind w:left="420"/>
      </w:pPr>
      <w:r>
        <w:t xml:space="preserve">2. an der Durchführung der Feststellung teilzunehmen.</w:t>
      </w:r>
    </w:p>
    <w:p>
      <w:r>
        <w:rPr>
          <w:color w:val="555555"/>
          <w:sz w:val="17"/>
        </w:rPr>
        <w:t xml:space="preserve">Zitiervorschlag: § 41d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https://recht.nulegal.eu/gesetze/HwO/41d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