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41b HwO</w:t>
      </w:r>
    </w:p>
    <w:p>
      <w:r>
        <w:rPr>
          <w:color w:val="555555"/>
          <w:sz w:val="18"/>
        </w:rPr>
        <w:t xml:space="preserve">Handwerksordnung</w:t>
      </w:r>
    </w:p>
    <w:p>
      <w:r>
        <w:rPr>
          <w:color w:val="555555"/>
          <w:sz w:val="18"/>
        </w:rPr>
        <w:t xml:space="preserve">Stand: 01.08.2024 (konsolidierte Textfassung, kein amtliches Inkrafttretensdatum)</w:t>
      </w:r>
    </w:p>
    <w:p>
      <w:r>
        <w:t xml:space="preserve">(1) Die Handwerkskammer stellt auf Antrag die individuelle berufliche Handlungsfähigkeit des Antragstellers oder der Antragstellerin am Maßstab eines vom Antragsteller oder von der Antragstellerin zu bezeichnenden anerkannten Ausbildungsberufs (Referenzberuf) in einem Feststellungs- oder Ergänzungsverfahren fest und bescheinigt die individuelle berufliche Handlungsfähigkeit, wenn diese überwiegend oder vollständig mit der für die Ausübung des Referenzberufs erforderlichen beruflichen Handlungsfähigkeit vergleichbar ist.</w:t>
      </w:r>
    </w:p>
    <w:p>
      <w:r>
        <w:t xml:space="preserve">(2) Antragsberechtigt ist, wer</w:t>
      </w:r>
    </w:p>
    <w:p>
      <w:pPr>
        <w:ind w:left="420"/>
      </w:pPr>
      <w:r>
        <w:t xml:space="preserve">1. seinen Wohnsitz in Deutschland hat oder die notwendige Berufstätigkeit nach Absatz 3 Satz 1 Nummer 1 mindestens zur Hälfte im Inland absolviert hat und</w:t>
      </w:r>
    </w:p>
    <w:p>
      <w:pPr>
        <w:ind w:left="420"/>
      </w:pPr>
      <w:r>
        <w:t xml:space="preserve">2. in dem Referenzberuf keinen Berufsabschluss hat und für wessen Berufsabschluss keine Gleichwertigkeit nach dem Berufsqualifikationsfeststellungsgesetz festgestellt worden ist,</w:t>
      </w:r>
    </w:p>
    <w:p>
      <w:pPr>
        <w:ind w:left="420"/>
      </w:pPr>
      <w:r>
        <w:t xml:space="preserve">3. nicht in einem Berufsausbildungsverhältnis im Referenzberuf steht sowie</w:t>
      </w:r>
    </w:p>
    <w:p>
      <w:pPr>
        <w:ind w:left="420"/>
      </w:pPr>
      <w:r>
        <w:t xml:space="preserve">4. das 25. Lebensjahr vollendet hat.</w:t>
      </w:r>
    </w:p>
    <w:p>
      <w:r>
        <w:t xml:space="preserve">(3) Zum Feststellungsverfahren ist per Bescheid zuzulassen, wer</w:t>
      </w:r>
    </w:p>
    <w:p>
      <w:pPr>
        <w:ind w:left="420"/>
      </w:pPr>
      <w:r>
        <w:t xml:space="preserve">1. nachweist, mindestens das Eineinhalbfache der Zeit, die als Ausbildungsdauer für den Referenzberuf vorgeschrieben ist, in dem Referenzberuf tätig gewesen zu sein, und</w:t>
      </w:r>
    </w:p>
    <w:p>
      <w:pPr>
        <w:ind w:left="420"/>
      </w:pPr>
      <w:r>
        <w:t xml:space="preserve">2. glaubhaft macht, bei seiner Tätigkeit nach Nummer 1 oder in sonstiger Weise eine berufliche Handlungsfähigkeit erworben zu haben, die derjenigen, die für die Ausübung des Referenzberufs erforderlich ist, überwiegend oder vollständig vergleichbar ist.</w:t>
      </w:r>
    </w:p>
    <w:p>
      <w:r>
        <w:t xml:space="preserve">§ 37 Absatz 2 Satz 2 bis 4 ist entsprechend mit der Maßgabe anzuwenden, dass, falls ein Berufsausbildungsverhältnis im Referenzberuf bestand und die Gesellenprüfung nicht bestanden wurde, die Dauer der Berufsausbildung bis höchstens zur Hälfte der festgelegten Ausbildungsdauer berücksichtigt werden kann. Gelingt dem Antragsteller oder der Antragstellerin der Nachweis nach Satz 1 Nummer 1 oder die Glaubhaftmachung nach Satz 1 Nummer 2 aus von ihm oder ihr selbst nicht zu vertretenden Gründen nicht oder nur teilweise, kann insoweit die Abgabe einer eidesstattlichen Versicherung gefordert werden.</w:t>
      </w:r>
    </w:p>
    <w:p>
      <w:r>
        <w:t xml:space="preserve">(4) Richtet sich der Antrag auf die Feststellung der überwiegenden Vergleichbarkeit, ist Absatz 3 Satz 1 Nummer 1 mit der Maßgabe entsprechend anzuwenden, dass eine Tätigkeit im Tätigkeitsbereich des Referenzberufs genügt, die die im Antrag bezeichneten für die Ausübung des Referenzberufs erforderlichen Fertigkeiten, Kenntnisse und Fähigkeiten umfasst.</w:t>
      </w:r>
    </w:p>
    <w:p>
      <w:r>
        <w:t xml:space="preserve">(5) Wer bereits ein Feststellungsverfahren nach diesem Abschnitt durchlaufen hat, in dem die überwiegende, aber nicht vollständige Vergleichbarkeit mit der für die Ausübung des Referenzberufs erforderlichen beruflichen Handlungsfähigkeit festgestellt und bescheinigt worden ist, hat Anspruch auf Durchführung eines Ergänzungsverfahrens, wenn er glaubhaft macht, dass er den Teil der beruflichen Handlungsfähigkeit, der für eine vollständige Vergleichbarkeit gefehlt hat, nach der Zulassung zum Feststellungsverfahren erworben hat. Absatz 3 Satz 3 ist mit der Maßgabe anzuwenden, dass es eines erneuten Nachweises nach Absatz 3 Satz 1 Nummer 1 nicht bedarf. Das Ergänzungsverfahren beschränkt sich auf diesen Teil der beruflichen Handlungsfähigkeit. Wird die vollständige Vergleichbarkeit im Ergänzungsverfahren festgestellt, so bescheinigt die Handwerkskammer die vollständige Vergleichbarkeit.</w:t>
      </w:r>
    </w:p>
    <w:p>
      <w:r>
        <w:rPr>
          <w:color w:val="555555"/>
          <w:sz w:val="17"/>
        </w:rPr>
        <w:t xml:space="preserve">Zitiervorschlag: § 41b HwO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https://recht.nulegal.eu/gesetze/HwO/41b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