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41a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Handwerkskammer überwacht die Durchführung</w:t>
      </w:r>
    </w:p>
    <w:p>
      <w:pPr>
        <w:ind w:left="420"/>
      </w:pPr>
      <w:r>
        <w:t xml:space="preserve">1. der Berufsausbildungsvorbereitung,</w:t>
      </w:r>
    </w:p>
    <w:p>
      <w:pPr>
        <w:ind w:left="420"/>
      </w:pPr>
      <w:r>
        <w:t xml:space="preserve">2. der Berufsausbildung und</w:t>
      </w:r>
    </w:p>
    <w:p>
      <w:pPr>
        <w:ind w:left="420"/>
      </w:pPr>
      <w:r>
        <w:t xml:space="preserve">3. der beruflichen Umschulung</w:t>
      </w:r>
    </w:p>
    <w:p>
      <w:r>
        <w:t xml:space="preserve">und fördert diese durch Beratung der an der Berufsbildung beteiligten Personen. Sie hat zu diesem Zweck Berater zu bestellen. § 111 ist anzuwenden. Die Bestellung von Beratern und Beraterinnen ist hauptberuflich, nebenberuflich oder ehrenamtlich möglich. Erfolgt die Bestellung ehrenamtlich, gilt § 34 Absatz 9 entsprechend.</w:t>
      </w:r>
    </w:p>
    <w:p>
      <w:r>
        <w:t xml:space="preserve">(2) Ausbildende, Umschulende und Anbieter von Maßnahmen der Berufsausbildungsvorbereitung sind auf Verlangen verpflichtet, die für die Überwachung notwendigen Auskünfte zu erteilen und Unterlagen vorzulegen sowie die Besichtigung der Ausbildungsstätten zu gestatten.</w:t>
      </w:r>
    </w:p>
    <w:p>
      <w:r>
        <w:t xml:space="preserve">(3) Die Durchführung von Auslandsaufenthalten nach § 2 Abs. 3 des Berufsbildungsgesetzes überwacht und fördert die Handwerkskammer in geeigneter Weise. Beträgt die Dauer eines Ausbildungsabschnitts im Ausland mehr als acht Wochen, ist hierfür ein mit der Handwerkskammer abgestimmter Plan erforderlich.</w:t>
      </w:r>
    </w:p>
    <w:p>
      <w:r>
        <w:t xml:space="preserve">(4) Die Handwerkskammer teilt der Aufsichtsbehörde nach dem Jugendarbeitsschutzgesetz Wahrnehmungen mit, die für die Durchführung des Jugendarbeitsschutzgesetzes von Bedeutung sein können.</w:t>
      </w:r>
    </w:p>
    <w:p>
      <w:r>
        <w:rPr>
          <w:color w:val="555555"/>
          <w:sz w:val="17"/>
        </w:rPr>
        <w:t xml:space="preserve">Zitiervorschlag: § 41a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https://recht.nulegal.eu/gesetze/HwO/41a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