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40a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07.08.2021 (konsolidierte Textfassung, kein amtliches Inkrafttretensdatum)</w:t>
      </w:r>
    </w:p>
    <w:p>
      <w:r>
        <w:t xml:space="preserve">Ausländische Ausbildungsnachweise stehen der Gesellenprüfung im Sinne dieses Gesetzes und der auf ihm beruhenden Rechtsverordnungen gleich, wenn ihre Gleichwertigkeit festgestellt wurde. § 50c Absatz 4 gilt entsprechend. Die Vorschriften des Berufsqualifikationsfeststellungsgesetzes für nicht reglementierte Berufe sowie § 17 sind anzuwenden.</w:t>
      </w:r>
    </w:p>
    <w:p>
      <w:r>
        <w:rPr>
          <w:color w:val="555555"/>
          <w:sz w:val="17"/>
        </w:rPr>
        <w:t xml:space="preserve">Zitiervorschlag: § 40a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https://recht.nulegal.eu/gesetze/HwO/40a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