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HwO</w:t>
      </w:r>
    </w:p>
    <w:p>
      <w:r>
        <w:rPr>
          <w:color w:val="555555"/>
          <w:sz w:val="18"/>
        </w:rPr>
        <w:t xml:space="preserve">Handwerksordnung</w:t>
      </w:r>
    </w:p>
    <w:p>
      <w:r>
        <w:rPr>
          <w:color w:val="555555"/>
          <w:sz w:val="18"/>
        </w:rPr>
        <w:t xml:space="preserve">Stand: 17.11.2022 (konsolidierte Textfassung, kein amtliches Inkrafttretensdatum)</w:t>
      </w:r>
    </w:p>
    <w:p>
      <w:r>
        <w:t xml:space="preserve">(1) Das Bundesministerium für Wirtschaft und Klimaschutz kann im Einvernehmen mit dem Bundesministerium für Bildung und Forschung nach Anhörung des Hauptausschusses des Bundesinstituts für Berufsbildung durch Rechtsverordnung außerhalb des Anwendungsbereichs dieses Gesetzes erworbene Prüfungszeugnisse den entsprechenden Zeugnissen über das Bestehen der Gesellenprüfung gleichstellen, wenn die Berufsausbildung und die in der Prüfung nachzuweisenden beruflichen Fertigkeiten, Kenntnisse und Fähigkeiten gleichwertig sind.</w:t>
      </w:r>
    </w:p>
    <w:p>
      <w:r>
        <w:t xml:space="preserve">(2) Das Bundesministerium für Wirtschaft und Klimaschutz kann im Einvernehmen mit dem Bundesministerium für Bildung und Forschung nach Anhörung des Hauptausschusses des Bundesinstituts für Berufsbildung durch Rechtsverordnung im Ausland erworbene Prüfungszeugnisse den entsprechenden Zeugnissen über das Bestehen der Gesellenprüfung gleichstellen, wenn die in der Prüfung nachzuweisenden beruflichen Fertigkeiten, Kenntnisse und Fähigkeiten gleichwertig sind.</w:t>
      </w:r>
    </w:p>
    <w:p>
      <w:r>
        <w:rPr>
          <w:color w:val="555555"/>
          <w:sz w:val="17"/>
        </w:rPr>
        <w:t xml:space="preserve">Zitiervorschlag: § 40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