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Zusätzliche berufliche Fertigkeiten, Kenntnisse und Fähigkeiten nach § 26 Absatz 2 Satz 1 Nummer 6 werden gesondert geprüft und bescheinigt. Das Ergebnis der Prüfung nach § 31 bleibt unberührt.</w:t>
      </w:r>
    </w:p>
    <w:p>
      <w:r>
        <w:t xml:space="preserve">(2) § 31 Absatz 3 und 4 sowie die §§ 33 bis 35b und 38 gelten entsprechend.</w:t>
      </w:r>
    </w:p>
    <w:p>
      <w:r>
        <w:rPr>
          <w:color w:val="555555"/>
          <w:sz w:val="17"/>
        </w:rPr>
        <w:t xml:space="preserve">Zitiervorschlag: § 39a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https://recht.nulegal.eu/gesetze/HwO/39a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