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HwO</w:t>
      </w:r>
    </w:p>
    <w:p>
      <w:r>
        <w:rPr>
          <w:color w:val="555555"/>
          <w:sz w:val="18"/>
        </w:rPr>
        <w:t xml:space="preserve">Handwerksordnung</w:t>
      </w:r>
    </w:p>
    <w:p>
      <w:r>
        <w:rPr>
          <w:color w:val="555555"/>
          <w:sz w:val="18"/>
        </w:rPr>
        <w:t xml:space="preserve">Stand: 10.01.2020 (konsolidierte Textfassung, kein amtliches Inkrafttretensdatum)</w:t>
      </w:r>
    </w:p>
    <w:p>
      <w:r>
        <w:t xml:space="preserve">(1) Während der Berufsausbildung ist zur Ermittlung des Ausbildungsstands eine Zwischenprüfung entsprechend der Ausbildungsordnung durchzuführen. Die §§ 31 bis 33 gelten entsprechend.</w:t>
      </w:r>
    </w:p>
    <w:p>
      <w:r>
        <w:t xml:space="preserve">(2) Die Zwischenprüfung entfällt, sofern</w:t>
      </w:r>
    </w:p>
    <w:p>
      <w:pPr>
        <w:ind w:left="420"/>
      </w:pPr>
      <w:r>
        <w:t xml:space="preserve">1. die Ausbildungsordnung vorsieht, dass die Gesellenprüfung in zwei zeitlich auseinanderfallenden Teilen durchgeführt wird, oder</w:t>
      </w:r>
    </w:p>
    <w:p>
      <w:pPr>
        <w:ind w:left="420"/>
      </w:pPr>
      <w:r>
        <w:t xml:space="preserve">2. die Ausbildungsordnung vorsieht, dass auf die Dauer der durch die Ausbildungsordnung geregelten Berufsausbildung die Dauer einer anderen abgeschlossenen Berufsausbildung im Umfang von mindestens zwei Jahren anzurechnen ist, und die Vertragsparteien die Anrechnung mit mindestens dieser Dauer vereinbart haben.</w:t>
      </w:r>
    </w:p>
    <w:p>
      <w:r>
        <w:t xml:space="preserve">(3) Umzuschulende sind auf ihren Antrag zur Zwischenprüfung zuzulassen.</w:t>
      </w:r>
    </w:p>
    <w:p>
      <w:r>
        <w:rPr>
          <w:color w:val="555555"/>
          <w:sz w:val="17"/>
        </w:rPr>
        <w:t xml:space="preserve">Zitiervorschlag: § 39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