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zur Gesellenprüfung entscheidet der Vorsitzende des Prüfungsausschusses. Hält er die Zulassungsvoraussetzungen nicht für gegeben, so entscheidet der Prüfungsausschuss.</w:t>
      </w:r>
    </w:p>
    <w:p>
      <w:r>
        <w:t xml:space="preserve">(2) Auszubildenden, die Elternzeit in Anspruch genommen haben, darf bei der Entscheidung über die Zulassung hieraus kein Nachteil erwachsen.</w:t>
      </w:r>
    </w:p>
    <w:p>
      <w:r>
        <w:rPr>
          <w:color w:val="555555"/>
          <w:sz w:val="17"/>
        </w:rPr>
        <w:t xml:space="preserve">Zitiervorschlag: § 37a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https://recht.nulegal.eu/gesetze/HwO/37a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