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Sofern die Gesellenprüfung in zwei zeitlich auseinander fallenden Teilen durchgeführt wird, ist über die Zulassung jeweils gesondert zu entscheiden.</w:t>
      </w:r>
    </w:p>
    <w:p>
      <w:r>
        <w:t xml:space="preserve">(2) Zum ersten Teil der Gesellenprüfung ist zuzulassen, wer die in der Ausbildungsordnung vorgeschriebene, erforderliche Ausbildungsdauer zurückgelegt hat und die Voraussetzungen des § 36 Abs. 1 Nr. 2 und 3 erfüllt.</w:t>
      </w:r>
    </w:p>
    <w:p>
      <w:r>
        <w:t xml:space="preserve">(3) Zum zweiten Teil der Gesellenprüfung ist zuzulassen, wer</w:t>
      </w:r>
    </w:p>
    <w:p>
      <w:pPr>
        <w:ind w:left="420"/>
      </w:pPr>
      <w:r>
        <w:t xml:space="preserve">1. über die Voraussetzungen des § 36 Absatz 1 hinaus am ersten Teil der Gesellenprüfung teilgenommen hat,</w:t>
      </w:r>
    </w:p>
    <w:p>
      <w:pPr>
        <w:ind w:left="420"/>
      </w:pPr>
      <w:r>
        <w:t xml:space="preserve">2. auf Grund einer Rechtsverordnung nach § 26 Absatz 2 Satz 1 Nummer 3 von der Ablegung des ersten Teils der Gesellenprüfung befreit ist oder</w:t>
      </w:r>
    </w:p>
    <w:p>
      <w:pPr>
        <w:ind w:left="420"/>
      </w:pPr>
      <w:r>
        <w:t xml:space="preserve">3. aus Gründen, die er nicht zu vertreten hat, am ersten Teil der Gesellenprüfung nicht teilgenommen hat.</w:t>
      </w:r>
    </w:p>
    <w:p>
      <w:r>
        <w:t xml:space="preserve">Im Fall des Satzes 1 Nummer 3 ist der erste Teil der Gesellenprüfung zusammen mit dem zweiten Teil abzulegen.</w:t>
      </w:r>
    </w:p>
    <w:p>
      <w:r>
        <w:rPr>
          <w:color w:val="555555"/>
          <w:sz w:val="17"/>
        </w:rPr>
        <w:t xml:space="preserve">Zitiervorschlag: § 36a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https://recht.nulegal.eu/gesetze/HwO/36a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