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Zur Gesellenprüfung ist zuzulassen,</w:t>
      </w:r>
    </w:p>
    <w:p>
      <w:pPr>
        <w:ind w:left="420"/>
      </w:pPr>
      <w:r>
        <w:t xml:space="preserve">1. wer die Ausbildungsdauer zurückgelegt hat oder wessen Ausbildungsdauer nicht später als zwei Monate nach dem Prüfungstermin endet,</w:t>
      </w:r>
    </w:p>
    <w:p>
      <w:pPr>
        <w:ind w:left="420"/>
      </w:pPr>
      <w:r>
        <w:t xml:space="preserve">2. wer an vorgeschriebenen Zwischenprüfungen teilgenommen sowie einen Ausbildungsnachweis nach § 13 Satz 2 Nummer 7 des Berufsbildungsgesetzes über den Ausbildenden schriftlich oder elektronisch vorgelegt hat und</w:t>
      </w:r>
    </w:p>
    <w:p>
      <w:pPr>
        <w:ind w:left="420"/>
      </w:pPr>
      <w:r>
        <w:t xml:space="preserve">3. wessen Berufsausbildungsverhältnis in die Lehrlingsrolle eingetragen oder aus einem Grund nicht eingetragen ist, den weder der Lehrling (Auszubildende) noch dessen gesetzlicher Vertreter zu vertreten hat.</w:t>
      </w:r>
    </w:p>
    <w:p>
      <w:r>
        <w:t xml:space="preserve">(2) Zur Gesellenprüfung ist ferner zuzulassen, wer in einer berufsbildenden Schule oder einer sonstigen Berufsbildungseinrichtung ausgebildet worden ist, wenn dieser Bildungsgang der Berufsausbildung in einem anerkannten Ausbildungsberuf (Gewerbe der Anlage A oder der Anlage B) entspricht. Ein Bildungsgang entspricht der Berufsausbildung in einem anerkannten Ausbildungsberuf, wenn er</w:t>
      </w:r>
    </w:p>
    <w:p>
      <w:pPr>
        <w:ind w:left="420"/>
      </w:pPr>
      <w:r>
        <w:t xml:space="preserve">1. nach Inhalt, Anforderung und zeitlichem Umfang der jeweiligen Ausbildungsordnung gleichwertig ist,</w:t>
      </w:r>
    </w:p>
    <w:p>
      <w:pPr>
        <w:ind w:left="420"/>
      </w:pPr>
      <w:r>
        <w:t xml:space="preserve">2. systematisch, insbesondere im Rahmen einer sachlichen und zeitlichen Gliederung durchgeführt wird, und</w:t>
      </w:r>
    </w:p>
    <w:p>
      <w:pPr>
        <w:ind w:left="420"/>
      </w:pPr>
      <w:r>
        <w:t xml:space="preserve">3. durch Lernortkooperation einen angemessenen Anteil an fachpraktischer Ausbildung gewährleistet.</w:t>
      </w:r>
    </w:p>
    <w:p>
      <w:r>
        <w:rPr>
          <w:color w:val="555555"/>
          <w:sz w:val="17"/>
        </w:rPr>
        <w:t xml:space="preserve">Zitiervorschlag: § 36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