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HwO</w:t>
      </w:r>
    </w:p>
    <w:p>
      <w:r>
        <w:rPr>
          <w:color w:val="555555"/>
          <w:sz w:val="18"/>
        </w:rPr>
        <w:t xml:space="preserve">Handwerksordnung</w:t>
      </w:r>
    </w:p>
    <w:p>
      <w:r>
        <w:rPr>
          <w:color w:val="555555"/>
          <w:sz w:val="18"/>
        </w:rPr>
        <w:t xml:space="preserve">Stand: 10.06.2019 (konsolidierte Textfassung, kein amtliches Inkrafttretensdatum)</w:t>
      </w:r>
    </w:p>
    <w:p>
      <w:r>
        <w:t xml:space="preserve">Durch die Gesellenprüfung ist festzustellen, ob der Prüfling die berufliche Handlungsfähigkeit im Sinne des § 1 Abs. 3 des Berufsbildungsgesetzes erworben hat. In ihr soll der Prüfling nachweisen, dass er die erforderlichen beruflichen Fertigkeiten beherrscht, die notwendigen beruflichen Kenntnisse und Fähigkeiten besitzt und mit dem im Berufsschulunterricht zu vermittelnden, für die Berufsausbildung wesentlichen Lehrstoff vertraut ist. Die Ausbildungsordnung ist zugrunde zu legen.</w:t>
      </w:r>
    </w:p>
    <w:p>
      <w:r>
        <w:rPr>
          <w:color w:val="555555"/>
          <w:sz w:val="17"/>
        </w:rPr>
        <w:t xml:space="preserve">Zitiervorschlag: § 32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