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HwO</w:t>
      </w:r>
    </w:p>
    <w:p>
      <w:r>
        <w:rPr>
          <w:color w:val="555555"/>
          <w:sz w:val="18"/>
        </w:rPr>
        <w:t xml:space="preserve">Handwerksordnung</w:t>
      </w:r>
    </w:p>
    <w:p>
      <w:r>
        <w:rPr>
          <w:color w:val="555555"/>
          <w:sz w:val="18"/>
        </w:rPr>
        <w:t xml:space="preserve">Stand: 01.08.2024 (konsolidierte Textfassung, kein amtliches Inkrafttretensdatum)</w:t>
      </w:r>
    </w:p>
    <w:p>
      <w:r>
        <w:t xml:space="preserve">(1) In den anerkannten Ausbildungsberufen (Gewerbe der Anlage A oder der Anlage B) sind Gesellenprüfungen durchzuführen. Die Prüfung kann im Falle des Nichtbestehens zweimal wiederholt werden. Sofern die Gesellenprüfung in zwei zeitlich auseinander fallenden Teilen durchgeführt wird, ist der erste Teil der Gesellenprüfung nicht eigenständig wiederholbar.</w:t>
      </w:r>
    </w:p>
    <w:p>
      <w:r>
        <w:t xml:space="preserve">(2) Dem Prüfling ist ein Zeugnis auszustellen. Dem Ausbildenden werden auf dessen Verlangen die Ergebnisse der Gesellenprüfung des Lehrlings (Auszubildenden) übermittelt. Sofern die Gesellenprüfung in zwei zeitlich auseinander fallenden Teilen durchgeführt wird, ist das Ergebnis der Prüfungsleistung im ersten Teil der Gesellenprüfung dem Prüfling schriftlich oder elektronisch mitzuteilen.</w:t>
      </w:r>
    </w:p>
    <w:p>
      <w:r>
        <w:t xml:space="preserve">(3) Dem Zeugnis ist auf Antrag des Lehrlings (Auszubildenden) eine englischsprachige und eine französischsprachige Übersetzung beizufügen. Auf Antrag des Lehrlings (Auszubildenden) ist das Ergebnis berufsschulischer Leistungsfeststellungen auf dem Zeugnis auszuweisen. Der Lehrling (Auszubildende) hat den Nachweis der berufsschulischen Leistungsfeststellungen dem Antrag beizufügen. Sofern die Schule nach Landesrecht verpflichtet ist, die berufsschulische Leistungsfeststellung an die Handwerkskammer oder die nach § 33 Absatz 1 Satz 3 von der Handwerkskammer zur Errichtung von Prüfungsausschüssen ermächtigte Handwerksinnung zu übermitteln, hat die Handwerkskammer oder die Handwerksinnung die berufsschulische Leistungsfeststellung nach der Übermittlung auf dem Zeugnis auszuweisen.</w:t>
      </w:r>
    </w:p>
    <w:p>
      <w:r>
        <w:t xml:space="preserve">(4) Die Prüfung ist für den Lehrling (Auszubildenden) gebührenfrei.</w:t>
      </w:r>
    </w:p>
    <w:p>
      <w:r>
        <w:rPr>
          <w:color w:val="555555"/>
          <w:sz w:val="17"/>
        </w:rPr>
        <w:t xml:space="preserve">Zitiervorschlag: § 31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