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Berufsausbildungsvertrag und Änderungen seines wesentlichen Inhalts sind in die Lehrlingsrolle einzutragen, wenn</w:t>
      </w:r>
    </w:p>
    <w:p>
      <w:pPr>
        <w:ind w:left="420"/>
      </w:pPr>
      <w:r>
        <w:t xml:space="preserve">1. der Berufsausbildungsvertrag den gesetzlichen Vorschriften und der Ausbildungsordnung entspricht,</w:t>
      </w:r>
    </w:p>
    <w:p>
      <w:pPr>
        <w:ind w:left="420"/>
      </w:pPr>
      <w:r>
        <w:t xml:space="preserve">2. die persönliche und fachliche Eignung sowie die Eignung der Ausbildungsstätte für das Einstellen und Ausbilden vorliegen und</w:t>
      </w:r>
    </w:p>
    <w:p>
      <w:pPr>
        <w:ind w:left="420"/>
      </w:pPr>
      <w:r>
        <w:t xml:space="preserve">3. für Auszubildende unter 18 Jahren die ärztliche Bescheinigung über die Erstuntersuchung nach § 32 Abs. 1 des Jugendarbeitsschutzgesetzes zur Einsicht vorgelegt wird.</w:t>
      </w:r>
    </w:p>
    <w:p>
      <w:r>
        <w:t xml:space="preserve">(2) Die Eintragung ist abzulehnen oder zu löschen, wenn die Eintragungsvoraussetzungen nicht vorliegen und der Mangel nicht nach § 23 Abs. 2 behoben wird. Die Eintragung ist ferner zu löschen, wenn die ärztliche Bescheinigung über die erste Nachuntersuchung nach § 33 Abs. 1 des Jugendarbeitsschutzgesetzes nicht spätestens am Tag der Anmeldung des Auszubildenden zur Zwischenprüfung oder zum ersten Teil der Gesellenprüfung zur Einsicht vorgelegt und der Mangel nicht nach § 23 Abs. 2 behoben wird.</w:t>
      </w:r>
    </w:p>
    <w:p>
      <w:r>
        <w:rPr>
          <w:color w:val="555555"/>
          <w:sz w:val="17"/>
        </w:rPr>
        <w:t xml:space="preserve">Zitiervorschlag: § 29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