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27d HwO</w:t>
      </w:r>
    </w:p>
    <w:p>
      <w:r>
        <w:rPr>
          <w:color w:val="555555"/>
          <w:sz w:val="18"/>
        </w:rPr>
        <w:t xml:space="preserve">Handwerksordnung</w:t>
      </w:r>
    </w:p>
    <w:p>
      <w:r>
        <w:rPr>
          <w:color w:val="555555"/>
          <w:sz w:val="18"/>
        </w:rPr>
        <w:t xml:space="preserve">Stand: 17.11.2022 (konsolidierte Textfassung, kein amtliches Inkrafttretensdatum)</w:t>
      </w:r>
    </w:p>
    <w:p>
      <w:r>
        <w:t xml:space="preserve">Werden in einem Betrieb zwei verwandte Handwerke ausgeübt, so kann in beiden Handwerken in einer verkürzten Gesamtausbildungszeit gleichzeitig ausgebildet werden. Das Bundesministerium für Wirtschaft und Klimaschutz bestimmt im Einvernehmen mit dem Bundesministerium für Bildung und Forschung durch Rechtsverordnung für welche verwandte Handwerke eine Gesamtausbildungszeit vereinbart werden kann und die Dauer der Gesamtausbildungszeit.</w:t>
      </w:r>
    </w:p>
    <w:p>
      <w:r>
        <w:rPr>
          <w:color w:val="555555"/>
          <w:sz w:val="17"/>
        </w:rPr>
        <w:t xml:space="preserve">Zitiervorschlag: § 27d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https://recht.nulegal.eu/gesetze/HwO/27d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