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27c HwO</w:t>
      </w:r>
    </w:p>
    <w:p>
      <w:r>
        <w:rPr>
          <w:color w:val="555555"/>
          <w:sz w:val="18"/>
        </w:rPr>
        <w:t xml:space="preserve">Handwerksordnung</w:t>
      </w:r>
    </w:p>
    <w:p>
      <w:r>
        <w:rPr>
          <w:color w:val="555555"/>
          <w:sz w:val="18"/>
        </w:rPr>
        <w:t xml:space="preserve">Stand: 01.08.2024 (konsolidierte Textfassung, kein amtliches Inkrafttretensdatum)</w:t>
      </w:r>
    </w:p>
    <w:p>
      <w:r>
        <w:t xml:space="preserve">(1) Auf gemeinsamen Antrag des Lehrlings (Auszubildenden) und des Ausbildenden hat die Handwerkskammer die Ausbildungsdauer zu kürzen, wenn zu erwarten ist, dass das Ausbildungsziel in der gekürzten Dauer erreicht wird. Satz 1 gilt bei einer Teilzeitberufsausbildung mit der Maßgabe, dass, wenn eine Verkürzung der Ausbildungsdauer entsprechend den Empfehlungen des Hauptausschusses nach Absatz 3 zu einer Ausbildungsdauer führt, die das Ende der für die betreffende Berufsausbildung in Vollzeit festgelegten Ausbildungsdauer höchstens um sechs Monate überschreitet, die Ausbildungsdauer auf das Ende der für die betreffende Berufsausbildung in Vollzeit festgelegten Ausbildungsdauer verkürzt wird.</w:t>
      </w:r>
    </w:p>
    <w:p>
      <w:r>
        <w:t xml:space="preserve">(2) In Ausnahmefällen kann die Handwerkskammer auf Antrag des Lehrlings (Auszubildenden) die Ausbildungsdauer verlängern, wenn die Verlängerung erforderlich ist, um das Ausbildungsziel zu erreichen. Vor der Entscheidung nach Satz 1 ist der Ausbildende zu hören.</w:t>
      </w:r>
    </w:p>
    <w:p>
      <w:r>
        <w:t xml:space="preserve">(3) Für die Entscheidung über die Verkürzung oder Verlängerung der Ausbildungsdauer kann der Hauptausschuss des Bundesinstituts für Berufsbildung Empfehlungen beschließen.</w:t>
      </w:r>
    </w:p>
    <w:p>
      <w:r>
        <w:rPr>
          <w:color w:val="555555"/>
          <w:sz w:val="17"/>
        </w:rPr>
        <w:t xml:space="preserve">Zitiervorschlag: § 27c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https://recht.nulegal.eu/gesetze/HwO/27c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