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HwO</w:t>
      </w:r>
    </w:p>
    <w:p>
      <w:r>
        <w:rPr>
          <w:color w:val="555555"/>
          <w:sz w:val="18"/>
        </w:rPr>
        <w:t xml:space="preserve">Handwerksordnung</w:t>
      </w:r>
    </w:p>
    <w:p>
      <w:r>
        <w:rPr>
          <w:color w:val="555555"/>
          <w:sz w:val="18"/>
        </w:rPr>
        <w:t xml:space="preserve">Stand: 17.11.2022 (konsolidierte Textfassung, kein amtliches Inkrafttretensdatum)</w:t>
      </w:r>
    </w:p>
    <w:p>
      <w:r>
        <w:t xml:space="preserve">(1) Als Grundlage für eine geordnete und einheitliche Berufsausbildung kann das Bundesministerium für Wirtschaft und Klimaschutz im Einvernehmen mit dem Bundesministerium für Bildung und Forschung durch Rechtsverordnung, die nicht der Zustimmung des Bundesrates bedarf, für Gewerbe der Anlage A und der Anlage B Ausbildungsberufe staatlich anerkennen und hierfür Ausbildungsordnungen nach § 26 erlassen. Dabei können in einem Gewerbe mehrere Ausbildungsberufe staatlich anerkannt werden, soweit dies wegen der Breite des Gewerbes erforderlich ist; die in diesen Berufen abgelegten Gesellenprüfungen sind Prüfungen im Sinne des § 49 Abs. 1 oder § 51a Abs. 5 Satz 1.</w:t>
      </w:r>
    </w:p>
    <w:p>
      <w:r>
        <w:t xml:space="preserve">(2) Für einen anerkannten Ausbildungsberuf darf nur nach der Ausbildungsordnung ausgebildet werden.</w:t>
      </w:r>
    </w:p>
    <w:p>
      <w:r>
        <w:t xml:space="preserve">(3) In anderen als anerkannten Ausbildungsberufen dürfen Jugendliche unter 18 Jahren nicht ausgebildet werden, soweit die Berufsausbildung nicht auf den Besuch weiterführender Bildungsgänge vorbereitet.</w:t>
      </w:r>
    </w:p>
    <w:p>
      <w:r>
        <w:t xml:space="preserve">(4) Wird die Ausbildungsordnung eines Ausbildungsberufs aufgehoben oder geändert oder werden Gewerbe in der Anlage A oder in der Anlage B gestrichen, zusammengefasst oder getrennt, so sind für bestehende Berufsausbildungsverhältnisse weiterhin die bis zu dem Zeitpunkt der Aufhebung oder Änderung geltenden Vorschriften anzuwenden, es sei denn, die ändernde Verordnung sieht eine abweichende Regelung vor.</w:t>
      </w:r>
    </w:p>
    <w:p>
      <w:r>
        <w:t xml:space="preserve">(5) Das Bundesministerium für Wirtschaft und Klimaschutz informiert die Länder frühzeitig über Neuordnungskonzepte und bezieht sie in die Abstimmung ein.</w:t>
      </w:r>
    </w:p>
    <w:p>
      <w:r>
        <w:rPr>
          <w:color w:val="555555"/>
          <w:sz w:val="17"/>
        </w:rPr>
        <w:t xml:space="preserve">Zitiervorschlag: § 25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