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24 HwO</w:t>
      </w:r>
    </w:p>
    <w:p>
      <w:r>
        <w:rPr>
          <w:color w:val="555555"/>
          <w:sz w:val="18"/>
        </w:rPr>
        <w:t xml:space="preserve">Handwerksordnung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nach Landesrecht zuständige Behörde kann für eine bestimmte Ausbildungsstätte das Einstellen und Ausbilden untersagen, wenn die Voraussetzungen nach § 21 nicht oder nicht mehr vorliegen.</w:t>
      </w:r>
    </w:p>
    <w:p>
      <w:r>
        <w:t xml:space="preserve">(2) Die nach Landesrecht zuständige Behörde hat das Einstellen und Ausbilden zu untersagen, wenn die persönliche oder fachliche Eignung nicht oder nicht mehr vorliegt.</w:t>
      </w:r>
    </w:p>
    <w:p>
      <w:r>
        <w:t xml:space="preserve">(3) Vor der Untersagung sind die Beteiligten und die Handwerkskammer zu hören. Dies gilt nicht in den Fällen des § 22a Nr. 1.</w:t>
      </w:r>
    </w:p>
    <w:p>
      <w:r>
        <w:rPr>
          <w:color w:val="555555"/>
          <w:sz w:val="17"/>
        </w:rPr>
        <w:t xml:space="preserve">Zitiervorschlag: § 24 HwO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https://recht.nulegal.eu/gesetze/HwO/24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