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Handwerkskammer hat darüber zu wachen, dass die Eignung der Ausbildungsstätte sowie die persönliche und fachliche Eignung vorliegen.</w:t>
      </w:r>
    </w:p>
    <w:p>
      <w:r>
        <w:t xml:space="preserve">(2) Werden Mängel der Eignung festgestellt, so hat die Handwerkskammer, falls der Mangel zu beheben und eine Gefährdung des Lehrlings (Auszubildenden) nicht zu erwarten ist, den Ausbildenden aufzufordern, innerhalb einer von ihr gesetzten Frist den Mangel zu beseitigen. Ist der Mangel der Eignung nicht zu beheben oder ist eine Gefährdung des Lehrlings (Auszubildenden) zu erwarten oder wird der Mangel nicht innerhalb der gesetzten Frist beseitigt, so hat die Handwerkskammer der nach Landesrecht zuständigen Behörde dies mitzuteilen.</w:t>
      </w:r>
    </w:p>
    <w:p>
      <w:r>
        <w:rPr>
          <w:color w:val="555555"/>
          <w:sz w:val="17"/>
        </w:rPr>
        <w:t xml:space="preserve">Zitiervorschlag: § 23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